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89R5245 MEW-D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 of Hidalgo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611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statewide standing order prescribing epinephrine auto-injectors to public and private schools.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38.211, Education Code, is amended by adding Subsection (b-1) and amending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of state health services or, if the commissioner is not a physician, the chief medical executive of the Department of State Health Services may issue a statewide standing order prescribing epinephrine auto-injectors to a school district, open-enrollment charter school, or private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standing order under Subsection (b) </w:t>
      </w:r>
      <w:r>
        <w:rPr>
          <w:u w:val="single"/>
        </w:rPr>
        <w:t xml:space="preserve">or (b-1)</w:t>
      </w:r>
      <w:r>
        <w:t xml:space="preserve"> is not required to be patient-specific, and the epinephrine auto-injector or medication for respiratory distress may be administered to a person without a previously established physician-patient relationship.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611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