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88456A" w14:paraId="1B72206C" w14:textId="77777777" w:rsidTr="00345119">
        <w:tc>
          <w:tcPr>
            <w:tcW w:w="9576" w:type="dxa"/>
            <w:noWrap/>
          </w:tcPr>
          <w:p w14:paraId="63BE6D40" w14:textId="77777777" w:rsidR="008423E4" w:rsidRPr="0022177D" w:rsidRDefault="000A3BF6" w:rsidP="0047060F">
            <w:pPr>
              <w:pStyle w:val="Heading1"/>
            </w:pPr>
            <w:r w:rsidRPr="00631897">
              <w:t>BILL ANALYSIS</w:t>
            </w:r>
          </w:p>
        </w:tc>
      </w:tr>
    </w:tbl>
    <w:p w14:paraId="04527F7E" w14:textId="77777777" w:rsidR="008423E4" w:rsidRPr="0022177D" w:rsidRDefault="008423E4" w:rsidP="0047060F">
      <w:pPr>
        <w:jc w:val="center"/>
      </w:pPr>
    </w:p>
    <w:p w14:paraId="6BF1B759" w14:textId="77777777" w:rsidR="008423E4" w:rsidRPr="00B31F0E" w:rsidRDefault="008423E4" w:rsidP="0047060F"/>
    <w:p w14:paraId="3313C27A" w14:textId="77777777" w:rsidR="008423E4" w:rsidRPr="00742794" w:rsidRDefault="008423E4" w:rsidP="0047060F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88456A" w14:paraId="7F09D228" w14:textId="77777777" w:rsidTr="00345119">
        <w:tc>
          <w:tcPr>
            <w:tcW w:w="9576" w:type="dxa"/>
          </w:tcPr>
          <w:p w14:paraId="18188097" w14:textId="6BF5FCCB" w:rsidR="008423E4" w:rsidRPr="00861995" w:rsidRDefault="000A3BF6" w:rsidP="0047060F">
            <w:pPr>
              <w:jc w:val="right"/>
            </w:pPr>
            <w:r>
              <w:t>C.S.H.B. 3377</w:t>
            </w:r>
          </w:p>
        </w:tc>
      </w:tr>
      <w:tr w:rsidR="0088456A" w14:paraId="6CC005DB" w14:textId="77777777" w:rsidTr="00345119">
        <w:tc>
          <w:tcPr>
            <w:tcW w:w="9576" w:type="dxa"/>
          </w:tcPr>
          <w:p w14:paraId="36D0364D" w14:textId="29B118D1" w:rsidR="008423E4" w:rsidRPr="00861995" w:rsidRDefault="000A3BF6" w:rsidP="0047060F">
            <w:pPr>
              <w:jc w:val="right"/>
            </w:pPr>
            <w:r>
              <w:t xml:space="preserve">By: </w:t>
            </w:r>
            <w:r w:rsidR="00A21561">
              <w:t>Jones, Venton</w:t>
            </w:r>
          </w:p>
        </w:tc>
      </w:tr>
      <w:tr w:rsidR="0088456A" w14:paraId="26F6DF49" w14:textId="77777777" w:rsidTr="00345119">
        <w:tc>
          <w:tcPr>
            <w:tcW w:w="9576" w:type="dxa"/>
          </w:tcPr>
          <w:p w14:paraId="1DAD9341" w14:textId="3B3616D3" w:rsidR="008423E4" w:rsidRPr="00861995" w:rsidRDefault="000A3BF6" w:rsidP="0047060F">
            <w:pPr>
              <w:jc w:val="right"/>
            </w:pPr>
            <w:r>
              <w:t>Public Health</w:t>
            </w:r>
          </w:p>
        </w:tc>
      </w:tr>
      <w:tr w:rsidR="0088456A" w14:paraId="31BDE770" w14:textId="77777777" w:rsidTr="00345119">
        <w:tc>
          <w:tcPr>
            <w:tcW w:w="9576" w:type="dxa"/>
          </w:tcPr>
          <w:p w14:paraId="67E0AF9C" w14:textId="1D503AED" w:rsidR="008423E4" w:rsidRDefault="000A3BF6" w:rsidP="0047060F">
            <w:pPr>
              <w:jc w:val="right"/>
            </w:pPr>
            <w:r>
              <w:t>Committee Report (Substituted)</w:t>
            </w:r>
          </w:p>
        </w:tc>
      </w:tr>
    </w:tbl>
    <w:p w14:paraId="5D647F83" w14:textId="77777777" w:rsidR="008423E4" w:rsidRDefault="008423E4" w:rsidP="0047060F">
      <w:pPr>
        <w:tabs>
          <w:tab w:val="right" w:pos="9360"/>
        </w:tabs>
      </w:pPr>
    </w:p>
    <w:p w14:paraId="737CBDE5" w14:textId="77777777" w:rsidR="008423E4" w:rsidRDefault="008423E4" w:rsidP="0047060F"/>
    <w:p w14:paraId="138DFD52" w14:textId="77777777" w:rsidR="008423E4" w:rsidRDefault="008423E4" w:rsidP="0047060F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88456A" w14:paraId="262AD09A" w14:textId="77777777" w:rsidTr="00345119">
        <w:tc>
          <w:tcPr>
            <w:tcW w:w="9576" w:type="dxa"/>
          </w:tcPr>
          <w:p w14:paraId="493BE178" w14:textId="77777777" w:rsidR="008423E4" w:rsidRPr="00A8133F" w:rsidRDefault="000A3BF6" w:rsidP="0047060F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194598A8" w14:textId="77777777" w:rsidR="008423E4" w:rsidRDefault="008423E4" w:rsidP="0047060F"/>
          <w:p w14:paraId="1DFE1344" w14:textId="523C876A" w:rsidR="008423E4" w:rsidRDefault="000A3BF6" w:rsidP="0047060F">
            <w:pPr>
              <w:pStyle w:val="Header"/>
              <w:jc w:val="both"/>
            </w:pPr>
            <w:r>
              <w:t>Currently, HIV testing is not part of the routine screening for sexually transmitted infections</w:t>
            </w:r>
            <w:r w:rsidR="00E258F6">
              <w:t xml:space="preserve"> (STI</w:t>
            </w:r>
            <w:r w:rsidR="0047060F">
              <w:t>s</w:t>
            </w:r>
            <w:r w:rsidR="00E258F6">
              <w:t>)</w:t>
            </w:r>
            <w:r>
              <w:t xml:space="preserve"> unless a patient specifically requests a test. This burden on the patient creates unnecessary barriers to testing. A</w:t>
            </w:r>
            <w:r w:rsidR="00AF556C">
              <w:t>ccording to the CDC, a</w:t>
            </w:r>
            <w:r>
              <w:t>pproximately 91</w:t>
            </w:r>
            <w:r w:rsidR="00E258F6">
              <w:t xml:space="preserve"> percent</w:t>
            </w:r>
            <w:r>
              <w:t xml:space="preserve"> of new HIV cases in Texas are spread through sexual contact. Having HIV </w:t>
            </w:r>
            <w:r w:rsidR="00001F61">
              <w:t xml:space="preserve">testing </w:t>
            </w:r>
            <w:r>
              <w:t>as a standard</w:t>
            </w:r>
            <w:r>
              <w:t xml:space="preserve"> of practice with STI screenings would help identify people living with HIV as early as possible and reduce the transmission to other Texans. </w:t>
            </w:r>
            <w:r w:rsidR="00584C1F">
              <w:t>C.S.</w:t>
            </w:r>
            <w:r>
              <w:t>H</w:t>
            </w:r>
            <w:r w:rsidR="00584C1F">
              <w:t>.</w:t>
            </w:r>
            <w:r>
              <w:t>B</w:t>
            </w:r>
            <w:r w:rsidR="00584C1F">
              <w:t>.</w:t>
            </w:r>
            <w:r>
              <w:t xml:space="preserve"> 3377 seeks to resolve this issue by changing HIV testing to an opt-out system, </w:t>
            </w:r>
            <w:r w:rsidR="00584C1F">
              <w:t>requiring</w:t>
            </w:r>
            <w:r>
              <w:t xml:space="preserve"> a health</w:t>
            </w:r>
            <w:r w:rsidR="00584C1F">
              <w:t xml:space="preserve"> </w:t>
            </w:r>
            <w:r>
              <w:t>care pr</w:t>
            </w:r>
            <w:r>
              <w:t xml:space="preserve">ovider who conducts STI screening to submit a sample for an HIV </w:t>
            </w:r>
            <w:r w:rsidR="00584C1F">
              <w:t>d</w:t>
            </w:r>
            <w:r>
              <w:t xml:space="preserve">iagnostic </w:t>
            </w:r>
            <w:r w:rsidR="00584C1F">
              <w:t>t</w:t>
            </w:r>
            <w:r>
              <w:t>est unless that individual opts</w:t>
            </w:r>
            <w:r w:rsidR="00001F61">
              <w:t xml:space="preserve"> </w:t>
            </w:r>
            <w:r>
              <w:t>out</w:t>
            </w:r>
            <w:r w:rsidR="00584C1F">
              <w:t xml:space="preserve"> and</w:t>
            </w:r>
            <w:r>
              <w:t xml:space="preserve"> </w:t>
            </w:r>
            <w:r w:rsidR="00F82240">
              <w:t xml:space="preserve">by </w:t>
            </w:r>
            <w:r>
              <w:t>requir</w:t>
            </w:r>
            <w:r w:rsidR="00584C1F">
              <w:t>ing that</w:t>
            </w:r>
            <w:r>
              <w:t xml:space="preserve"> </w:t>
            </w:r>
            <w:r w:rsidR="00584C1F">
              <w:t>an</w:t>
            </w:r>
            <w:r>
              <w:t xml:space="preserve"> individual who receive</w:t>
            </w:r>
            <w:r w:rsidR="00584C1F">
              <w:t>s</w:t>
            </w:r>
            <w:r>
              <w:t xml:space="preserve"> a positive result be provided information on HIV health services and community support programs</w:t>
            </w:r>
            <w:r>
              <w:t>.</w:t>
            </w:r>
          </w:p>
          <w:p w14:paraId="3735CDF4" w14:textId="77777777" w:rsidR="008423E4" w:rsidRPr="00E26B13" w:rsidRDefault="008423E4" w:rsidP="0047060F">
            <w:pPr>
              <w:rPr>
                <w:b/>
              </w:rPr>
            </w:pPr>
          </w:p>
        </w:tc>
      </w:tr>
      <w:tr w:rsidR="0088456A" w14:paraId="460F0574" w14:textId="77777777" w:rsidTr="00345119">
        <w:tc>
          <w:tcPr>
            <w:tcW w:w="9576" w:type="dxa"/>
          </w:tcPr>
          <w:p w14:paraId="539157F2" w14:textId="77777777" w:rsidR="0017725B" w:rsidRDefault="000A3BF6" w:rsidP="0047060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09E7BB01" w14:textId="77777777" w:rsidR="0017725B" w:rsidRDefault="0017725B" w:rsidP="0047060F">
            <w:pPr>
              <w:rPr>
                <w:b/>
                <w:u w:val="single"/>
              </w:rPr>
            </w:pPr>
          </w:p>
          <w:p w14:paraId="31CF7715" w14:textId="7F18331F" w:rsidR="00DE6EED" w:rsidRPr="00DE6EED" w:rsidRDefault="000A3BF6" w:rsidP="0047060F">
            <w:pPr>
              <w:jc w:val="both"/>
            </w:pPr>
            <w:r>
              <w:t xml:space="preserve">It is the committee's opinion that this bill does not expressly create a criminal offense, increase the punishment for an existing criminal offense or category of offenses, or change the eligibility of a person for </w:t>
            </w:r>
            <w:r>
              <w:t>community supervision, parole, or mandatory supervision.</w:t>
            </w:r>
          </w:p>
          <w:p w14:paraId="396A8221" w14:textId="77777777" w:rsidR="0017725B" w:rsidRPr="0017725B" w:rsidRDefault="0017725B" w:rsidP="0047060F">
            <w:pPr>
              <w:rPr>
                <w:b/>
                <w:u w:val="single"/>
              </w:rPr>
            </w:pPr>
          </w:p>
        </w:tc>
      </w:tr>
      <w:tr w:rsidR="0088456A" w14:paraId="21A4BBBD" w14:textId="77777777" w:rsidTr="00345119">
        <w:tc>
          <w:tcPr>
            <w:tcW w:w="9576" w:type="dxa"/>
          </w:tcPr>
          <w:p w14:paraId="49510855" w14:textId="77777777" w:rsidR="008423E4" w:rsidRPr="00A8133F" w:rsidRDefault="000A3BF6" w:rsidP="0047060F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44B992E0" w14:textId="77777777" w:rsidR="008423E4" w:rsidRDefault="008423E4" w:rsidP="0047060F"/>
          <w:p w14:paraId="067F51A3" w14:textId="1EB0E534" w:rsidR="00DE6EED" w:rsidRDefault="000A3BF6" w:rsidP="0047060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rulemaking authority is expressly granted to the </w:t>
            </w:r>
            <w:r w:rsidRPr="00DE6EED">
              <w:t>executive commissioner of the Health and Human Services Commission</w:t>
            </w:r>
            <w:r>
              <w:t xml:space="preserve"> in SECTION 2 of this bi</w:t>
            </w:r>
            <w:r>
              <w:t>ll.</w:t>
            </w:r>
          </w:p>
          <w:p w14:paraId="414C27EE" w14:textId="77777777" w:rsidR="008423E4" w:rsidRPr="00E21FDC" w:rsidRDefault="008423E4" w:rsidP="0047060F">
            <w:pPr>
              <w:rPr>
                <w:b/>
              </w:rPr>
            </w:pPr>
          </w:p>
        </w:tc>
      </w:tr>
      <w:tr w:rsidR="0088456A" w14:paraId="19342DC3" w14:textId="77777777" w:rsidTr="00345119">
        <w:tc>
          <w:tcPr>
            <w:tcW w:w="9576" w:type="dxa"/>
          </w:tcPr>
          <w:p w14:paraId="47C3192D" w14:textId="77777777" w:rsidR="008423E4" w:rsidRPr="00A8133F" w:rsidRDefault="000A3BF6" w:rsidP="0047060F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22A9B32F" w14:textId="77777777" w:rsidR="008423E4" w:rsidRDefault="008423E4" w:rsidP="0047060F"/>
          <w:p w14:paraId="08125BA6" w14:textId="633964D5" w:rsidR="0056577F" w:rsidRDefault="000A3BF6" w:rsidP="0047060F">
            <w:pPr>
              <w:pStyle w:val="Header"/>
              <w:jc w:val="both"/>
            </w:pPr>
            <w:r>
              <w:t>C.S.</w:t>
            </w:r>
            <w:r w:rsidR="0047060F">
              <w:t>H</w:t>
            </w:r>
            <w:r>
              <w:t>.</w:t>
            </w:r>
            <w:r w:rsidR="0047060F">
              <w:t>B.</w:t>
            </w:r>
            <w:r>
              <w:t xml:space="preserve"> 3377 amends the </w:t>
            </w:r>
            <w:r w:rsidRPr="0056577F">
              <w:t>Health and Safety Code</w:t>
            </w:r>
            <w:r>
              <w:t xml:space="preserve"> to require a health care provider who takes a sample of an individual's blood</w:t>
            </w:r>
            <w:r>
              <w:t xml:space="preserve"> as part of a medical screening for a sexually transmitted infection to submit the sample for an HIV diagnostic test, regardless of whether an HIV test is part of a primary diagnosis, unless the individual opts out of the HIV test. The bill requires the he</w:t>
            </w:r>
            <w:r>
              <w:t>alth care provider, before taking the sample</w:t>
            </w:r>
            <w:r w:rsidR="00CD5A07">
              <w:t>, to</w:t>
            </w:r>
            <w:r>
              <w:t xml:space="preserve"> obtain the individual's consent for </w:t>
            </w:r>
            <w:r w:rsidR="00CD5A07">
              <w:t>the</w:t>
            </w:r>
            <w:r>
              <w:t xml:space="preserve"> HIV diagnostic test or inform the individual that </w:t>
            </w:r>
            <w:r w:rsidR="00CD5A07">
              <w:t>the</w:t>
            </w:r>
            <w:r>
              <w:t xml:space="preserve"> test will be performed unless the individual opts out of the test.</w:t>
            </w:r>
            <w:r w:rsidR="00CD5A07">
              <w:t xml:space="preserve"> The bill requires a</w:t>
            </w:r>
            <w:r>
              <w:t xml:space="preserve"> health care provider who s</w:t>
            </w:r>
            <w:r>
              <w:t xml:space="preserve">ubmits an individual's blood for an HIV diagnostic test </w:t>
            </w:r>
            <w:r w:rsidR="00CD5A07">
              <w:t>to</w:t>
            </w:r>
            <w:r>
              <w:t xml:space="preserve"> provide to each individual who receives a positive test result information on available HIV health services and referrals to community support programs.</w:t>
            </w:r>
          </w:p>
          <w:p w14:paraId="43529CB6" w14:textId="77777777" w:rsidR="0056577F" w:rsidRDefault="0056577F" w:rsidP="0047060F">
            <w:pPr>
              <w:pStyle w:val="Header"/>
              <w:jc w:val="both"/>
            </w:pPr>
          </w:p>
          <w:p w14:paraId="634BD1C3" w14:textId="17F38FAE" w:rsidR="009C36CD" w:rsidRDefault="000A3BF6" w:rsidP="0047060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 w:rsidR="00CD5A07">
              <w:t>H.B. 3377 requires the</w:t>
            </w:r>
            <w:r w:rsidR="0056577F">
              <w:t xml:space="preserve"> executive commissioner</w:t>
            </w:r>
            <w:r w:rsidR="00CD5A07">
              <w:t xml:space="preserve"> of the Health and Human Services Commission</w:t>
            </w:r>
            <w:r w:rsidR="000F350A">
              <w:t xml:space="preserve"> (HHSC)</w:t>
            </w:r>
            <w:r w:rsidR="00CD5A07">
              <w:t>, not later than January 1, 2024, to</w:t>
            </w:r>
            <w:r w:rsidR="0056577F">
              <w:t xml:space="preserve"> adopt rules to implement th</w:t>
            </w:r>
            <w:r w:rsidR="00CD5A07">
              <w:t xml:space="preserve">e </w:t>
            </w:r>
            <w:r w:rsidR="00001F61">
              <w:t xml:space="preserve">bill's </w:t>
            </w:r>
            <w:r w:rsidR="00CD5A07">
              <w:t>provisions and,</w:t>
            </w:r>
            <w:r w:rsidR="0056577F">
              <w:t xml:space="preserve"> </w:t>
            </w:r>
            <w:r w:rsidR="00CD5A07">
              <w:t>i</w:t>
            </w:r>
            <w:r w:rsidR="0056577F">
              <w:t>n adopting</w:t>
            </w:r>
            <w:r w:rsidR="00CD5A07">
              <w:t xml:space="preserve"> the</w:t>
            </w:r>
            <w:r w:rsidR="0056577F">
              <w:t xml:space="preserve"> rules, t</w:t>
            </w:r>
            <w:r w:rsidR="00CD5A07">
              <w:t>o</w:t>
            </w:r>
            <w:r w:rsidR="0056577F">
              <w:t xml:space="preserve"> consider the most recent recommendations of the</w:t>
            </w:r>
            <w:r w:rsidR="00CD5A07">
              <w:t xml:space="preserve"> federal</w:t>
            </w:r>
            <w:r w:rsidR="0056577F">
              <w:t xml:space="preserve"> Centers for Disease Control and Prevention for HIV testing of adults and adolescents.</w:t>
            </w:r>
            <w:r w:rsidR="00CD5A07">
              <w:t xml:space="preserve"> The bill establishes that</w:t>
            </w:r>
            <w:r w:rsidR="00DE6EED">
              <w:t xml:space="preserve"> </w:t>
            </w:r>
            <w:r w:rsidR="00DE6EED" w:rsidRPr="00DE6EED">
              <w:t>a health care provider is not required to comply with th</w:t>
            </w:r>
            <w:r w:rsidR="00DE6EED">
              <w:t xml:space="preserve">e </w:t>
            </w:r>
            <w:r w:rsidR="00001F61">
              <w:t xml:space="preserve">bill's </w:t>
            </w:r>
            <w:r w:rsidR="00DE6EED">
              <w:t>provisions</w:t>
            </w:r>
            <w:r w:rsidR="00DE6EED" w:rsidRPr="00DE6EED">
              <w:t xml:space="preserve"> until </w:t>
            </w:r>
            <w:r w:rsidR="00001F61" w:rsidRPr="00DE6EED">
              <w:t>January</w:t>
            </w:r>
            <w:r w:rsidR="00001F61">
              <w:t> </w:t>
            </w:r>
            <w:r w:rsidR="00DE6EED" w:rsidRPr="00DE6EED">
              <w:t>1, 2024.</w:t>
            </w:r>
          </w:p>
          <w:p w14:paraId="2FAD685F" w14:textId="57762C27" w:rsidR="005527B0" w:rsidRDefault="005527B0" w:rsidP="0047060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4771A310" w14:textId="77777777" w:rsidR="008423E4" w:rsidRDefault="000A3BF6" w:rsidP="0047060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C.S.H.B. 3377 establishes that implementation of a </w:t>
            </w:r>
            <w:r w:rsidR="003B457F">
              <w:t xml:space="preserve">mandatory </w:t>
            </w:r>
            <w:r>
              <w:t>provision of this</w:t>
            </w:r>
            <w:r w:rsidR="000F350A">
              <w:t xml:space="preserve"> bill</w:t>
            </w:r>
            <w:r>
              <w:t xml:space="preserve"> by </w:t>
            </w:r>
            <w:r w:rsidR="000F350A">
              <w:t>HHSC</w:t>
            </w:r>
            <w:r>
              <w:t xml:space="preserve"> is mandatory only if a specific appropriation is made for that purpose </w:t>
            </w:r>
            <w:r w:rsidR="000F350A">
              <w:t>and</w:t>
            </w:r>
            <w:r w:rsidR="00F82240">
              <w:t xml:space="preserve"> that</w:t>
            </w:r>
            <w:r w:rsidR="000F350A">
              <w:t xml:space="preserve"> if HHSC does not implement a </w:t>
            </w:r>
            <w:r w:rsidR="003B457F">
              <w:t xml:space="preserve">mandatory </w:t>
            </w:r>
            <w:r w:rsidR="000F350A">
              <w:t>provision in a state fiscal year, HHSC,</w:t>
            </w:r>
            <w:r w:rsidR="00F82240">
              <w:t xml:space="preserve"> in</w:t>
            </w:r>
            <w:r w:rsidR="000F350A">
              <w:t xml:space="preserve"> i</w:t>
            </w:r>
            <w:r w:rsidR="003B457F">
              <w:t xml:space="preserve">ts </w:t>
            </w:r>
            <w:r w:rsidR="000F350A">
              <w:t xml:space="preserve">legislative budget request for the next state fiscal biennium, </w:t>
            </w:r>
            <w:r w:rsidR="003B457F">
              <w:t>must</w:t>
            </w:r>
            <w:r w:rsidR="000F350A">
              <w:t xml:space="preserve"> certify that fact to the Legislative Budget Board and include a written estimate of the costs of implementing the provision in each year of that next state fiscal biennium.</w:t>
            </w:r>
            <w:r w:rsidR="003B457F">
              <w:t xml:space="preserve"> </w:t>
            </w:r>
            <w:r w:rsidR="000F350A">
              <w:t>Th</w:t>
            </w:r>
            <w:r w:rsidR="00F82240">
              <w:t>ese</w:t>
            </w:r>
            <w:r w:rsidR="000F350A">
              <w:t xml:space="preserve"> </w:t>
            </w:r>
            <w:r w:rsidR="003B457F">
              <w:t>provision</w:t>
            </w:r>
            <w:r w:rsidR="00F82240">
              <w:t>s</w:t>
            </w:r>
            <w:r w:rsidR="003B457F">
              <w:t xml:space="preserve"> of the bill</w:t>
            </w:r>
            <w:r w:rsidR="000F350A">
              <w:t xml:space="preserve"> expire and any</w:t>
            </w:r>
            <w:r w:rsidR="003B457F">
              <w:t xml:space="preserve"> </w:t>
            </w:r>
            <w:r w:rsidR="00777885">
              <w:t xml:space="preserve">applicable </w:t>
            </w:r>
            <w:r w:rsidR="003B457F">
              <w:t>duty of HHSC suspended by th</w:t>
            </w:r>
            <w:r w:rsidR="00F82240">
              <w:t>ese</w:t>
            </w:r>
            <w:r w:rsidR="003B457F">
              <w:t xml:space="preserve"> provision</w:t>
            </w:r>
            <w:r w:rsidR="00F82240">
              <w:t>s</w:t>
            </w:r>
            <w:r w:rsidR="003B457F">
              <w:t xml:space="preserve"> becomes mandatory on September 1, 2027.</w:t>
            </w:r>
          </w:p>
          <w:p w14:paraId="6EBB0ED0" w14:textId="3B0B9C22" w:rsidR="0047060F" w:rsidRPr="00835628" w:rsidRDefault="0047060F" w:rsidP="0047060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88456A" w14:paraId="0B0B77BD" w14:textId="77777777" w:rsidTr="00345119">
        <w:tc>
          <w:tcPr>
            <w:tcW w:w="9576" w:type="dxa"/>
          </w:tcPr>
          <w:p w14:paraId="01CC5069" w14:textId="77777777" w:rsidR="008423E4" w:rsidRPr="00A8133F" w:rsidRDefault="000A3BF6" w:rsidP="0047060F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76E88B7F" w14:textId="77777777" w:rsidR="0047060F" w:rsidRDefault="0047060F" w:rsidP="0047060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2A190DAD" w14:textId="1E2E726D" w:rsidR="008423E4" w:rsidRDefault="000A3BF6" w:rsidP="0047060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2023.</w:t>
            </w:r>
          </w:p>
          <w:p w14:paraId="4B335332" w14:textId="095F5A54" w:rsidR="0047060F" w:rsidRPr="00DF11C8" w:rsidRDefault="0047060F" w:rsidP="0047060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</w:tr>
      <w:tr w:rsidR="0088456A" w14:paraId="674C0E2A" w14:textId="77777777" w:rsidTr="00345119">
        <w:tc>
          <w:tcPr>
            <w:tcW w:w="9576" w:type="dxa"/>
          </w:tcPr>
          <w:p w14:paraId="642B5486" w14:textId="77777777" w:rsidR="00A21561" w:rsidRDefault="000A3BF6" w:rsidP="0047060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INTRODUCED AND SUBSTITUTE</w:t>
            </w:r>
          </w:p>
          <w:p w14:paraId="769B7417" w14:textId="77777777" w:rsidR="00DF11C8" w:rsidRDefault="00DF11C8" w:rsidP="0047060F">
            <w:pPr>
              <w:jc w:val="both"/>
            </w:pPr>
          </w:p>
          <w:p w14:paraId="50806BDE" w14:textId="74E3B86E" w:rsidR="00DF11C8" w:rsidRDefault="000A3BF6" w:rsidP="0047060F">
            <w:pPr>
              <w:jc w:val="both"/>
            </w:pPr>
            <w:r>
              <w:t>While C.S.H.B. 3377 may differ from the introduced</w:t>
            </w:r>
            <w:r>
              <w:t xml:space="preserve"> in minor or nonsubstantive ways, the following summarizes the substantial differences between the introduced and committee substitute versions of the bill.</w:t>
            </w:r>
          </w:p>
          <w:p w14:paraId="5F273D02" w14:textId="23C0B5B3" w:rsidR="00DF11C8" w:rsidRDefault="00DF11C8" w:rsidP="0047060F">
            <w:pPr>
              <w:jc w:val="both"/>
            </w:pPr>
          </w:p>
          <w:p w14:paraId="56186062" w14:textId="7EB5E8D6" w:rsidR="00F82240" w:rsidRDefault="000A3BF6" w:rsidP="0047060F">
            <w:pPr>
              <w:jc w:val="both"/>
            </w:pPr>
            <w:r>
              <w:t xml:space="preserve">The introduced requires a health care provider to obtain an individual's written consent for an HIV diagnostic test or verbally inform the individual that such a test will be performed. The substitute does not include the specification that the consent be </w:t>
            </w:r>
            <w:r>
              <w:t>written or that the information be provided verbally.</w:t>
            </w:r>
          </w:p>
          <w:p w14:paraId="4A185E16" w14:textId="2288A2F7" w:rsidR="003A6AE2" w:rsidRDefault="003A6AE2" w:rsidP="0047060F">
            <w:pPr>
              <w:jc w:val="both"/>
            </w:pPr>
          </w:p>
          <w:p w14:paraId="565F0FF1" w14:textId="77777777" w:rsidR="00304F7F" w:rsidRDefault="000A3BF6" w:rsidP="0047060F">
            <w:pPr>
              <w:jc w:val="both"/>
            </w:pPr>
            <w:r>
              <w:t xml:space="preserve">The substitute contains the following provisions absent from the introduced: </w:t>
            </w:r>
          </w:p>
          <w:p w14:paraId="5C2A84FA" w14:textId="77777777" w:rsidR="00304F7F" w:rsidRDefault="000A3BF6" w:rsidP="0047060F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</w:pPr>
            <w:r>
              <w:t xml:space="preserve">a provision </w:t>
            </w:r>
            <w:r w:rsidR="003A6AE2">
              <w:t xml:space="preserve">making </w:t>
            </w:r>
            <w:r>
              <w:t>implementation</w:t>
            </w:r>
            <w:r w:rsidR="003A6AE2">
              <w:t xml:space="preserve"> of a mandatory provision of the bill contingent on a specific appropriation for that provision</w:t>
            </w:r>
            <w:r>
              <w:t>;</w:t>
            </w:r>
          </w:p>
          <w:p w14:paraId="36CB5201" w14:textId="4331EF90" w:rsidR="00304F7F" w:rsidRDefault="000A3BF6" w:rsidP="0047060F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</w:pPr>
            <w:r>
              <w:t>a</w:t>
            </w:r>
            <w:r w:rsidR="003A6AE2">
              <w:t xml:space="preserve"> requir</w:t>
            </w:r>
            <w:r>
              <w:t>ement for</w:t>
            </w:r>
            <w:r w:rsidR="003A6AE2">
              <w:t xml:space="preserve"> HHSC to cert</w:t>
            </w:r>
            <w:r>
              <w:t xml:space="preserve">ify to the Legislative Budget Board that HHSC did not implement </w:t>
            </w:r>
            <w:r w:rsidR="00F82240">
              <w:t xml:space="preserve">such </w:t>
            </w:r>
            <w:r>
              <w:t xml:space="preserve">a mandatory provision; and </w:t>
            </w:r>
          </w:p>
          <w:p w14:paraId="6EE0A6A2" w14:textId="70ECA32E" w:rsidR="003A6AE2" w:rsidRDefault="000A3BF6" w:rsidP="0047060F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</w:pPr>
            <w:r>
              <w:t xml:space="preserve">a provision establishing that </w:t>
            </w:r>
            <w:r w:rsidR="00EC3C04">
              <w:t>any applicable suspended</w:t>
            </w:r>
            <w:r>
              <w:t xml:space="preserve"> </w:t>
            </w:r>
            <w:r w:rsidR="00EC3C04">
              <w:t xml:space="preserve">duty </w:t>
            </w:r>
            <w:r>
              <w:t>will become mandatory on September 1, 2027.</w:t>
            </w:r>
          </w:p>
          <w:p w14:paraId="01F3212B" w14:textId="69B6FFCF" w:rsidR="00DF11C8" w:rsidRPr="00DF11C8" w:rsidRDefault="00DF11C8" w:rsidP="0047060F">
            <w:pPr>
              <w:jc w:val="both"/>
            </w:pPr>
          </w:p>
        </w:tc>
      </w:tr>
      <w:tr w:rsidR="0088456A" w14:paraId="320F909A" w14:textId="77777777" w:rsidTr="00345119">
        <w:tc>
          <w:tcPr>
            <w:tcW w:w="9576" w:type="dxa"/>
          </w:tcPr>
          <w:p w14:paraId="7E44D796" w14:textId="77777777" w:rsidR="00A21561" w:rsidRPr="009C1E9A" w:rsidRDefault="00A21561" w:rsidP="0047060F">
            <w:pPr>
              <w:rPr>
                <w:b/>
                <w:u w:val="single"/>
              </w:rPr>
            </w:pPr>
          </w:p>
        </w:tc>
      </w:tr>
      <w:tr w:rsidR="0088456A" w14:paraId="4525542E" w14:textId="77777777" w:rsidTr="00345119">
        <w:tc>
          <w:tcPr>
            <w:tcW w:w="9576" w:type="dxa"/>
          </w:tcPr>
          <w:p w14:paraId="04B23EF1" w14:textId="77777777" w:rsidR="00A21561" w:rsidRPr="00A21561" w:rsidRDefault="00A21561" w:rsidP="0047060F">
            <w:pPr>
              <w:jc w:val="both"/>
            </w:pPr>
          </w:p>
        </w:tc>
      </w:tr>
    </w:tbl>
    <w:p w14:paraId="51FD4794" w14:textId="77777777" w:rsidR="008423E4" w:rsidRPr="00BE0E75" w:rsidRDefault="008423E4" w:rsidP="0047060F">
      <w:pPr>
        <w:jc w:val="both"/>
        <w:rPr>
          <w:rFonts w:ascii="Arial" w:hAnsi="Arial"/>
          <w:sz w:val="16"/>
          <w:szCs w:val="16"/>
        </w:rPr>
      </w:pPr>
    </w:p>
    <w:p w14:paraId="7CAFE243" w14:textId="77777777" w:rsidR="004108C3" w:rsidRPr="008423E4" w:rsidRDefault="004108C3" w:rsidP="0047060F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86B9E" w14:textId="77777777" w:rsidR="00000000" w:rsidRDefault="000A3BF6">
      <w:r>
        <w:separator/>
      </w:r>
    </w:p>
  </w:endnote>
  <w:endnote w:type="continuationSeparator" w:id="0">
    <w:p w14:paraId="29E05383" w14:textId="77777777" w:rsidR="00000000" w:rsidRDefault="000A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6AA28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88456A" w14:paraId="52E47B46" w14:textId="77777777" w:rsidTr="009C1E9A">
      <w:trPr>
        <w:cantSplit/>
      </w:trPr>
      <w:tc>
        <w:tcPr>
          <w:tcW w:w="0" w:type="pct"/>
        </w:tcPr>
        <w:p w14:paraId="7A3788EB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F8C98E8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FD2C7BD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4454DC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11C5233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8456A" w14:paraId="710D9DC9" w14:textId="77777777" w:rsidTr="009C1E9A">
      <w:trPr>
        <w:cantSplit/>
      </w:trPr>
      <w:tc>
        <w:tcPr>
          <w:tcW w:w="0" w:type="pct"/>
        </w:tcPr>
        <w:p w14:paraId="225A1029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42AC5AA" w14:textId="0761624F" w:rsidR="00EC379B" w:rsidRPr="009C1E9A" w:rsidRDefault="000A3BF6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23798-D</w:t>
          </w:r>
        </w:p>
      </w:tc>
      <w:tc>
        <w:tcPr>
          <w:tcW w:w="2453" w:type="pct"/>
        </w:tcPr>
        <w:p w14:paraId="27EE039E" w14:textId="227B1E99" w:rsidR="00EC379B" w:rsidRDefault="000A3BF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466C5F">
            <w:t>23.107.541</w:t>
          </w:r>
          <w:r>
            <w:fldChar w:fldCharType="end"/>
          </w:r>
        </w:p>
      </w:tc>
    </w:tr>
    <w:tr w:rsidR="0088456A" w14:paraId="5F3CAE09" w14:textId="77777777" w:rsidTr="009C1E9A">
      <w:trPr>
        <w:cantSplit/>
      </w:trPr>
      <w:tc>
        <w:tcPr>
          <w:tcW w:w="0" w:type="pct"/>
        </w:tcPr>
        <w:p w14:paraId="326B1C9C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5235586C" w14:textId="25167C30" w:rsidR="00EC379B" w:rsidRPr="009C1E9A" w:rsidRDefault="000A3BF6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88R 22124</w:t>
          </w:r>
        </w:p>
      </w:tc>
      <w:tc>
        <w:tcPr>
          <w:tcW w:w="2453" w:type="pct"/>
        </w:tcPr>
        <w:p w14:paraId="638E1993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5D77FD48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8456A" w14:paraId="59265E00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35ED8B47" w14:textId="77777777" w:rsidR="00EC379B" w:rsidRDefault="000A3BF6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7504EDDE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2FF105AF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4D02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E67AD" w14:textId="77777777" w:rsidR="00000000" w:rsidRDefault="000A3BF6">
      <w:r>
        <w:separator/>
      </w:r>
    </w:p>
  </w:footnote>
  <w:footnote w:type="continuationSeparator" w:id="0">
    <w:p w14:paraId="6EA02DF4" w14:textId="77777777" w:rsidR="00000000" w:rsidRDefault="000A3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CCCE9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5CD22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C6B28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10428"/>
    <w:multiLevelType w:val="hybridMultilevel"/>
    <w:tmpl w:val="52FCEE32"/>
    <w:lvl w:ilvl="0" w:tplc="8046A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A5D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6A30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E05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B038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C43A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A98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1217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22AB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E7C10"/>
    <w:multiLevelType w:val="hybridMultilevel"/>
    <w:tmpl w:val="9B2C5AB0"/>
    <w:lvl w:ilvl="0" w:tplc="17B26C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A8AF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8C55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EC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D0B1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409B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CE4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22CC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4C3A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E6"/>
    <w:rsid w:val="00000A70"/>
    <w:rsid w:val="00001F61"/>
    <w:rsid w:val="000032B8"/>
    <w:rsid w:val="00003B06"/>
    <w:rsid w:val="00003FB8"/>
    <w:rsid w:val="000054B9"/>
    <w:rsid w:val="00007461"/>
    <w:rsid w:val="000106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3BF6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50A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36F9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04F7F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A6AE2"/>
    <w:rsid w:val="003B1501"/>
    <w:rsid w:val="003B185E"/>
    <w:rsid w:val="003B198A"/>
    <w:rsid w:val="003B1CA3"/>
    <w:rsid w:val="003B1ED9"/>
    <w:rsid w:val="003B2891"/>
    <w:rsid w:val="003B3DF3"/>
    <w:rsid w:val="003B457F"/>
    <w:rsid w:val="003B48E2"/>
    <w:rsid w:val="003B4FA1"/>
    <w:rsid w:val="003B5BAD"/>
    <w:rsid w:val="003B66B6"/>
    <w:rsid w:val="003B7984"/>
    <w:rsid w:val="003B7AF6"/>
    <w:rsid w:val="003C0411"/>
    <w:rsid w:val="003C066C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66C5F"/>
    <w:rsid w:val="0047060F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08B0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27B0"/>
    <w:rsid w:val="00555034"/>
    <w:rsid w:val="005570D2"/>
    <w:rsid w:val="00561528"/>
    <w:rsid w:val="0056153F"/>
    <w:rsid w:val="00561B14"/>
    <w:rsid w:val="00562C87"/>
    <w:rsid w:val="005636BD"/>
    <w:rsid w:val="0056577F"/>
    <w:rsid w:val="005666D5"/>
    <w:rsid w:val="005669A7"/>
    <w:rsid w:val="00573401"/>
    <w:rsid w:val="00576714"/>
    <w:rsid w:val="0057685A"/>
    <w:rsid w:val="005832EE"/>
    <w:rsid w:val="005847EF"/>
    <w:rsid w:val="00584C1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76602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6E8D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B7CEA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77885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6A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9F74E6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1561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556C"/>
    <w:rsid w:val="00AF7C74"/>
    <w:rsid w:val="00B000AF"/>
    <w:rsid w:val="00B04E79"/>
    <w:rsid w:val="00B059D0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36B4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5A07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8DD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E6EED"/>
    <w:rsid w:val="00DF0834"/>
    <w:rsid w:val="00DF0873"/>
    <w:rsid w:val="00DF11C8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1D3B"/>
    <w:rsid w:val="00E04B30"/>
    <w:rsid w:val="00E0556D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58F6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3C04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240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DCD2A3-A1DE-4EA2-8EBF-310FBF87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E6E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E6E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E6EE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6E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6EED"/>
    <w:rPr>
      <w:b/>
      <w:bCs/>
    </w:rPr>
  </w:style>
  <w:style w:type="paragraph" w:styleId="Revision">
    <w:name w:val="Revision"/>
    <w:hidden/>
    <w:uiPriority w:val="99"/>
    <w:semiHidden/>
    <w:rsid w:val="00696E8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F1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3784</Characters>
  <Application>Microsoft Office Word</Application>
  <DocSecurity>4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HB03377 (Committee Report (Substituted))</vt:lpstr>
    </vt:vector>
  </TitlesOfParts>
  <Company>State of Texas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23798</dc:subject>
  <dc:creator>State of Texas</dc:creator>
  <dc:description>HB 3377 by Jones, Venton-(H)Public Health (Substitute Document Number: 88R 22124)</dc:description>
  <cp:lastModifiedBy>Matthew Lee</cp:lastModifiedBy>
  <cp:revision>2</cp:revision>
  <cp:lastPrinted>2003-11-26T17:21:00Z</cp:lastPrinted>
  <dcterms:created xsi:type="dcterms:W3CDTF">2023-04-20T21:15:00Z</dcterms:created>
  <dcterms:modified xsi:type="dcterms:W3CDTF">2023-04-20T21:15:00Z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23.107.541</vt:lpwstr>
  </property>
</Properties>
</file>