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88R4720 SCP-D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Romero, Jr.</w:t>
      </w:r>
      <w:r xml:space="preserve">
        <w:tab wTab="150" tlc="none" cTlc="0"/>
      </w:r>
      <w:r>
        <w:t xml:space="preserve">H.B.</w:t>
      </w:r>
      <w:r xml:space="preserve">
        <w:t> </w:t>
      </w:r>
      <w:r>
        <w:t xml:space="preserve">No.</w:t>
      </w:r>
      <w:r xml:space="preserve">
        <w:t> </w:t>
      </w:r>
      <w:r>
        <w:t xml:space="preserve">1549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administrative penalties assessed by the Texas Workforce Commission against certain employers for failure to pay wages.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61.053, Labor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If the commission examiner, a wage claim appeal tribunal, or the commission determines that an employer acted in bad faith in not paying wages as required by this chapter, the examiner, tribunal, or commission, in addition to ordering the payment of the wages, </w:t>
      </w:r>
      <w:r>
        <w:rPr>
          <w:u w:val="single"/>
        </w:rPr>
        <w:t xml:space="preserve">shall</w:t>
      </w:r>
      <w:r>
        <w:t xml:space="preserve"> [</w:t>
      </w:r>
      <w:r>
        <w:rPr>
          <w:strike/>
        </w:rPr>
        <w:t xml:space="preserve">may</w:t>
      </w:r>
      <w:r>
        <w:t xml:space="preserve">] assess an administrative penalty against the employer.</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For purposes of Subsection (a), acts that constitute bad faith by an employer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history of previous violations of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failure to pay wages to an employee as required by this chapter as an act of discrimination or retaliation against the employee;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failure to pay wages as required by this chapter to multiple employees at the same time;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failure to pay wages to an employee as required by this chapter knowing that the failure was a violation of state law;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actions showing reckless disregard of the requirements of this chapter,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repeatedly: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failing to reply to correspondence from a commission examiner, wage claim appeal tribunal, or the commission related to a wage claim;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refusing to participate in the wage claim process;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issuing a check for the payment of wages from an account that is closed or has insufficient funds;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stopping payment of a check issued to an employee for the payment of wages;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unreasonably withholding or delaying payment of wages, including by conditioning the payment of wages owed on the performance of additional work.</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