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Bettencourt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1999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March</w:t>
      </w:r>
      <w:r xml:space="preserve">
        <w:t> </w:t>
      </w:r>
      <w:r>
        <w:t xml:space="preserve">8,</w:t>
      </w:r>
      <w:r xml:space="preserve">
        <w:t> </w:t>
      </w:r>
      <w:r>
        <w:t xml:space="preserve">2023; March</w:t>
      </w:r>
      <w:r xml:space="preserve">
        <w:t> </w:t>
      </w:r>
      <w:r>
        <w:t xml:space="preserve">21,</w:t>
      </w:r>
      <w:r xml:space="preserve">
        <w:t> </w:t>
      </w:r>
      <w:r>
        <w:t xml:space="preserve">2023, read first time and referred to Committee on Local Government; April</w:t>
      </w:r>
      <w:r xml:space="preserve">
        <w:t> </w:t>
      </w:r>
      <w:r>
        <w:t xml:space="preserve">19,</w:t>
      </w:r>
      <w:r xml:space="preserve">
        <w:t> </w:t>
      </w:r>
      <w:r>
        <w:t xml:space="preserve">2023, reported favorably by the following vote:</w:t>
      </w:r>
      <w:r>
        <w:t xml:space="preserve"> </w:t>
      </w:r>
      <w:r>
        <w:t xml:space="preserve"> </w:t>
      </w:r>
      <w:r>
        <w:t xml:space="preserve">Yeas 7, Nays 0, one present not voting; April</w:t>
      </w:r>
      <w:r xml:space="preserve">
        <w:t> </w:t>
      </w:r>
      <w:r>
        <w:t xml:space="preserve">19,</w:t>
      </w:r>
      <w:r xml:space="preserve">
        <w:t> </w:t>
      </w:r>
      <w:r>
        <w:t xml:space="preserve">2023,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Bettencourt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Springer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Eckhardt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Gutierrez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Nichols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Parker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Paxton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West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the calculation of the unused increment rate of a taxing unit.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26.013(a), Tax Code, is amended by adding Subdivisions (1-a) and (1-b) to read as follows: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(1-a)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"Foregone revenue amount" means the greater of: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zero; or</w:t>
      </w:r>
      <w:r>
        <w:t xml:space="preserve"> 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amount expressed in dollars calculated according to the following formula: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FOREGONE REVENUE AMOUNT = (VOTER-APPROVAL TAX RATE - ACTUAL TAX RATE) x PRECEDING TOTAL VALUE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(1-b)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"Preceding total value" means a taxing unit's current total value in the applicable preceding tax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26.013(b), Tax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this chapter, "unused increment rate" means the greater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zero;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rate expressed in dollars per $100 of taxable value calculated according to the following formula:</w:t>
      </w:r>
    </w:p>
    <w:p w:rsidR="003F3435" w:rsidRDefault="0032493E">
      <w:pPr>
        <w:spacing w:line="480" w:lineRule="auto"/>
        <w:ind w:firstLine="720"/>
        <w:jc w:val="both"/>
      </w:pPr>
      <w:r>
        <w:t xml:space="preserve">UNUSED INCREMENT RATE = (YEAR 1 </w:t>
      </w:r>
      <w:r>
        <w:rPr>
          <w:u w:val="single"/>
        </w:rPr>
        <w:t xml:space="preserve">FOREGONE REVENUE AMOUNT + YEAR 2 FOREGONE REVENUE AMOUNT + YEAR 3 FOREGONE REVENUE AMOUNT) / CURRENT TOTAL VALUE</w:t>
      </w:r>
      <w:r>
        <w:t xml:space="preserve"> [</w:t>
      </w:r>
      <w:r>
        <w:rPr>
          <w:strike/>
        </w:rPr>
        <w:t xml:space="preserve">VOTER-APPROVAL TAX RATE - YEAR 1 ACTUAL TAX RATE) + (YEAR 2 VOTER-APPROVAL TAX RATE - YEAR 2 ACTUAL TAX RATE) + (YEAR 3 VOTER-APPROVAL TAX RATE - YEAR 3 ACTUAL TAX RATE)</w:t>
      </w:r>
      <w:r>
        <w:t xml:space="preserve">]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January 1, 2024.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1999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