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2290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requiring a venue for sexually oriented performances to provide certain content warnings.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17, Business &amp; Commerce Code, is amended by adding Subchapter M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M.  NOTICE REQUIREMENTS FOR CERTAIN ADULT ORIENTED BUSINESSES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17.975.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"Sexually oriented performance" means a visual performance that appeals to the prurient interest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featuring a performer who is nude, as defined by Section 102.051, Business &amp; Commerce Code;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featuring a male performer that exhibits as a female or a female performer that exhibits as a male using clothing, makeup, or other physical markers and signs, lip syncs, dances, or otherwise performs before an audience for entertainment.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"Sexually oriented performance venue" means a nightclub, bar, restaurant, or other commercial enterprise that provides for an audience of two or more individuals a sexually oriented performance.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17.976.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CONTENT WARNING REQUIRED.  A sexually oriented performance venue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post in a prominent place by each public entrance a sign conspicuously warning prospective patrons of the type and content of the scheduled sexually oriented performance, including whether the performance contains sexual content;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 the warning in any advertisement for the performance, including any advertisement that appears on a social media website.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17.977.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DECEPTIVE TRADE PRACTICE.  A violation of Section 17.976 is a deceptive trade practice under Subchapter E, Chapter 17, and is actionable under that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January 1, 2024, a sexually oriented performance venue shall comply with Subchapter M, Chapter 17, Business &amp; Commerce Code, as amended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2290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