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making an appropriation for the construction, operation, and maintenance of a Department of Public Safety office in Liberty County.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APPROPRIATION TO TRUSTEED PROGRAMS WITHIN THE OFFICE OF THE GOVERNOR. The amount of $19,539,814 is appropriated from the general revenue fund to the Trusteed Programs within the Office of the Governor for use during the two-year period beginning on the effective date of this Act for the construction, operation, and maintenance of a Department of Public Safety office in Liberty County.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EFFECTIVE DATE. </w:t>
      </w:r>
      <w:r>
        <w:t xml:space="preserve"> </w:t>
      </w:r>
      <w:r>
        <w:t xml:space="preserve">This Act takes effect </w:t>
      </w:r>
      <w:r>
        <w:t xml:space="preserve">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