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88R18928 JTZ-F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Kuempel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5346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appointment of magistrates in Guadalupe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54.2001(b), Government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judges of the district and statutory county courts in Guadalupe County by </w:t>
      </w:r>
      <w:r>
        <w:rPr>
          <w:u w:val="single"/>
        </w:rPr>
        <w:t xml:space="preserve">majority</w:t>
      </w:r>
      <w:r>
        <w:t xml:space="preserve"> [</w:t>
      </w:r>
      <w:r>
        <w:rPr>
          <w:strike/>
        </w:rPr>
        <w:t xml:space="preserve">a unanimous</w:t>
      </w:r>
      <w:r>
        <w:t xml:space="preserve">] vote may appoint magistrates as authorized by the Commissioners Court of Guadalupe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5346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