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2393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Samantha Norskow has been named the 2023 Support Staff of the Year at Tuloso-Midway Primary School in the Tuloso-Midway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Support staff play an integral role in the daily lives of students, faculty, and administrators; they perform such essential tasks as providing instructional assistance, transporting students, keeping campuses and facilities safe and clean, operating offices and maintaining records, serving nutritious meals, and offering medical care;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fitting recipient of this notable honor, Ms.</w:t>
      </w:r>
      <w:r xml:space="preserve">
        <w:t> </w:t>
      </w:r>
      <w:r>
        <w:t xml:space="preserve">Norskow has worked for Tuloso-Midway ISD for 10 years;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Dedicated support personnel like Samantha Norskow help to create a school environment that is conducive to learning, and she is indeed deserving of recognition for her outstanding service in behalf of area youth;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Samantha Norskow on her selection as the 2023 Support Staff of the Year at Tuloso-Midway Primary School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</w:t>
      </w:r>
      <w:r xml:space="preserve">
        <w:t> </w:t>
      </w:r>
      <w:r>
        <w:t xml:space="preserve">Norskow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Herrero</w:t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2393 was adopted by the House on May 29,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2393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