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88R3451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Springer</w:t>
      </w:r>
      <w:r xml:space="preserve">
        <w:tab wTab="150" tlc="none" cTlc="0"/>
      </w:r>
      <w:r>
        <w:t xml:space="preserve">S.B.</w:t>
      </w:r>
      <w:r xml:space="preserve">
        <w:t> </w:t>
      </w:r>
      <w:r>
        <w:t xml:space="preserve">No.</w:t>
      </w:r>
      <w:r xml:space="preserve">
        <w:t> </w:t>
      </w:r>
      <w:r>
        <w:t xml:space="preserve">1889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consideration of the proportion of long-term debt and equity capitalization in establishing the rates of electric utilities.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36, Utilities Code, is amended by adding Section 36.067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36.067.</w:t>
      </w:r>
      <w:r>
        <w:rPr>
          <w:u w:val="single"/>
        </w:rPr>
        <w:t xml:space="preserve"> </w:t>
      </w:r>
      <w:r>
        <w:rPr>
          <w:u w:val="single"/>
        </w:rPr>
        <w:t xml:space="preserve"> </w:t>
      </w:r>
      <w:r>
        <w:rPr>
          <w:u w:val="single"/>
        </w:rPr>
        <w:t xml:space="preserve">CONSIDERATION OF PROPORTION OF LONG-TERM DEBT AND EQUITY CAPITALIZATION. </w:t>
      </w:r>
      <w:r>
        <w:rPr>
          <w:u w:val="single"/>
        </w:rPr>
        <w:t xml:space="preserve"> </w:t>
      </w:r>
      <w:r>
        <w:rPr>
          <w:u w:val="single"/>
        </w:rPr>
        <w:t xml:space="preserve">(a) </w:t>
      </w:r>
      <w:r>
        <w:rPr>
          <w:u w:val="single"/>
        </w:rPr>
        <w:t xml:space="preserve"> </w:t>
      </w:r>
      <w:r>
        <w:rPr>
          <w:u w:val="single"/>
        </w:rPr>
        <w:t xml:space="preserve">Except as provided by Subsection (b), when establishing an electric utility's rates, the regulatory authority shall calculate the return on invested capital using the utility's actual proportion of long-term debt and equity capitalization as reported on the utility's most recent financial statement issued before the initiation of the applicable rate proceeding.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the electric utility's actual proportion of equity capitalization exceeds 60 percent, the regulatory authority shall calculate the return on invested capital using an equity capitalization of 60 percent.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Section 36.067, Utilities Code, as added by this Act, applies only to a proceeding for the establishment of rates for which the regulatory authority has not issued a final order or decision before the effective date of this Act.</w:t>
      </w:r>
    </w:p>
    <w:p w:rsidR="003F3435" w:rsidRDefault="0032493E">
      <w:pPr>
        <w:spacing w:line="480" w:lineRule="auto"/>
        <w:ind w:firstLine="720"/>
        <w:jc w:val="both"/>
      </w:pPr>
      <w:r>
        <w:t xml:space="preserve">(b)</w:t>
      </w:r>
      <w:r xml:space="preserve">
        <w:t> </w:t>
      </w:r>
      <w:r xml:space="preserve">
        <w:t> </w:t>
      </w:r>
      <w:r>
        <w:t xml:space="preserve">A proceeding for which the regulatory authority has issued a final order or decision before the effective date of this Act is governed by the law in effect immediately before that date,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1889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