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Vasut</w:t>
      </w:r>
      <w:r xml:space="preserve">
        <w:tab wTab="150" tlc="none" cTlc="0"/>
      </w:r>
      <w:r>
        <w:t xml:space="preserve">H.R.</w:t>
      </w:r>
      <w:r xml:space="preserve">
        <w:t> </w:t>
      </w:r>
      <w:r>
        <w:t xml:space="preserve">No.</w:t>
      </w:r>
      <w:r xml:space="preserve">
        <w:t> </w:t>
      </w:r>
      <w:r>
        <w:t xml:space="preserve">13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Section 5(b), Article III, Texas Constitution states:</w:t>
      </w:r>
    </w:p>
    <w:p w:rsidR="003F3435" w:rsidRDefault="0032493E">
      <w:pPr>
        <w:spacing w:line="480" w:lineRule="auto"/>
        <w:ind w:firstLine="720"/>
        <w:jc w:val="both"/>
      </w:pPr>
      <w:r>
        <w:t xml:space="preserve">"(b) When convened in regular Session, the first thirty days thereof shall be devoted to the introduction of bills and resolutions, acting upon emergency appropriations, passing upon the confirmation of the recess appointees of the Governor and such emergency matters as may be submitted by the Governor in special messages to the Legislature.  </w:t>
      </w:r>
      <w:r>
        <w:t xml:space="preserve">During the succeeding thirty days of the regular session of the Legislature the various committees of each House shall hold hearings to consider all bills and resolutions and other matters then pending; and such emergency matters as may be submitted by the Governor. During the remainder of the session the Legislature shall act upon such bills and resolutions as may be then pending and upon such emergency matters as may be submitted by the Governor in special messages to the Legislature."; and</w:t>
      </w:r>
    </w:p>
    <w:p w:rsidR="003F3435" w:rsidRDefault="0032493E">
      <w:pPr>
        <w:spacing w:line="480" w:lineRule="auto"/>
        <w:ind w:firstLine="720"/>
        <w:jc w:val="both"/>
      </w:pPr>
      <w:r>
        <w:t xml:space="preserve">WHEREAS, Section 5(c), Article III, Texas Constitution expressly permits the House of Representatives to otherwise determine its order of business by an affirmative vote of four-fifths of its membership; now, therefore, be it</w:t>
      </w:r>
    </w:p>
    <w:p w:rsidR="003F3435" w:rsidRDefault="0032493E">
      <w:pPr>
        <w:spacing w:line="480" w:lineRule="auto"/>
        <w:ind w:firstLine="720"/>
        <w:jc w:val="both"/>
      </w:pPr>
      <w:r>
        <w:t xml:space="preserve">RESOLVED by the House of Representatives of the 88th Texas Legislature, by an affirmative vote of four-fifths of its membership, that the order of its business for the regular session is hereby determined to be otherwise than set forth in Section 5, Article III, Texas Constitution, and declared to be specifically as set forth in the temporary and permanent rules of the House of Representatives of the 88th Legislature.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