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88R14088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2065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recovery of overpayments made to dentists by certain employee benefit plans and health insurers.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1451.206, Insurance Code, is amended by adding Subsections (d) and (e)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employee benefit plan or health insurance policy provider or issuer may not recover an overpayment made to a dentist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 later than the 180th day after the date the dentist receives the payment, the provider or issuer provides written notice of the overpayment to the dentist that includes the basis and specific reasons for the request for recovery of funds;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dentist: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fails to provide a written objection to the request for recovery of funds and does not make arrangements for repayment of the requested funds on or before the 45th day after the date the dentist receives the notice;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objects to the request in accordance with the procedure described by Subsection (e) and exhausts all rights of appeal.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employee benefit plan or health insurance policy provider or issuer shall provide a dentist with the opportunity to challenge an overpayment recovery request and establish written policies and procedures for a dentist to object to an overpayment recovery request.  The procedures must allow the dentist to access the claims information in dispute.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an employee benefit plan for a plan year that commences on or after January 1, 2024, or a health insurance policy delivered, issued for delivery, or renewed on or after January 1, 2024, and any provider network contract entered into on or after the effective date of this Act in connection with one of those plans or policies.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