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2003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life of an esteemed civic leader and legendary football player drew to a close with the passing of Richard Preston Ritchie on May 11, 2023, at the age of 68; and</w:t>
      </w:r>
    </w:p>
    <w:p w:rsidR="003F3435" w:rsidRDefault="0032493E">
      <w:pPr>
        <w:spacing w:line="480" w:lineRule="auto"/>
        <w:ind w:firstLine="720"/>
        <w:jc w:val="both"/>
      </w:pPr>
      <w:r>
        <w:t xml:space="preserve">WHEREAS, Born on May 2, 1955, in Mineral Wells, Richard Ritchie was the son of John and Ann Ritchie; he gained national acclaim on the gridiron during his years at Texas A&amp;I University, compiling a remarkable 39-0 record as the starting quarterback and leading the Javelinas to undefeated seasons in 1974, 1975, and 1976 that yielded three Lone Star Conference crowns and three NAIA Division I championships; named Most Valuable Player of the 1974 NAIA title game, he also garnered the 1975-1976 NAIA and LSC Player of the Year honors; he graduated with a degree in education and kinesiology in 1977, and he later created the Richard Ritchie Endowment in support of the school's athletic programs; he was inducted into the Javelina Hall of Fame, the LSC Hall of Honor, and the College Football Hall of Fame, and he earned the Distinguished Alumni Award for his continuing involvement with the university; and</w:t>
      </w:r>
    </w:p>
    <w:p w:rsidR="003F3435" w:rsidRDefault="0032493E">
      <w:pPr>
        <w:spacing w:line="480" w:lineRule="auto"/>
        <w:ind w:firstLine="720"/>
        <w:jc w:val="both"/>
      </w:pPr>
      <w:r>
        <w:t xml:space="preserve">WHEREAS, Mr.</w:t>
      </w:r>
      <w:r xml:space="preserve">
        <w:t> </w:t>
      </w:r>
      <w:r>
        <w:t xml:space="preserve">Ritchie went on to serve as an assistant football coach at The University of Texas at Austin, the University of North Texas, and Texas Tech University; after receiving his juris doctor degree from St.</w:t>
      </w:r>
      <w:r xml:space="preserve">
        <w:t> </w:t>
      </w:r>
      <w:r>
        <w:t xml:space="preserve">Mary's University in 1991, he embarked on his career as an attorney, following the tradition set by four previous generations in his family; he joined his father's practice, the Richard P. Ritchie Law firm in Mineral Wells, and he was a prominent member of the community, serving as an attorney for the Palo Pinto Water District and as a director of the First State Bank of Mineral Wells and the Brazos Foundation; moreover, he was president of the Noon Lions Club and captain of the Palo Pinto County Sheriff's Posse, and he also distinguished himself as a rancher, another occupation long pursued by the members of his family; and</w:t>
      </w:r>
    </w:p>
    <w:p w:rsidR="003F3435" w:rsidRDefault="0032493E">
      <w:pPr>
        <w:spacing w:line="480" w:lineRule="auto"/>
        <w:ind w:firstLine="720"/>
        <w:jc w:val="both"/>
      </w:pPr>
      <w:r>
        <w:t xml:space="preserve">WHEREAS, In all his endeavors, Mr.</w:t>
      </w:r>
      <w:r xml:space="preserve">
        <w:t> </w:t>
      </w:r>
      <w:r>
        <w:t xml:space="preserve">Ritchie enjoyed the love and support of his wife, Penny, his daughters, Leslie Kay and Lacie, and his five grandchildren; and</w:t>
      </w:r>
    </w:p>
    <w:p w:rsidR="003F3435" w:rsidRDefault="0032493E">
      <w:pPr>
        <w:spacing w:line="480" w:lineRule="auto"/>
        <w:ind w:firstLine="720"/>
        <w:jc w:val="both"/>
      </w:pPr>
      <w:r>
        <w:t xml:space="preserve">WHEREAS, While the death of Richard Ritchie brings great sadness to his loved ones, he leaves behind a legacy that will long be treasured by all who held him dear; now, therefore, be it</w:t>
      </w:r>
    </w:p>
    <w:p w:rsidR="003F3435" w:rsidRDefault="0032493E">
      <w:pPr>
        <w:spacing w:line="480" w:lineRule="auto"/>
        <w:ind w:firstLine="720"/>
        <w:jc w:val="both"/>
      </w:pPr>
      <w:r>
        <w:t xml:space="preserve">RESOLVED, That the House of Representatives of the 88th Texas Legislature hereby pay tribute to the memory of Richard Preston Ritchie and extend deepest condolences to the members of his family: to his wife, Penny Ritchie; to his daughters, Leslie Kay Ritchie Robnett and her husband, Kevin, and Lacie Ritchie Austin and her husband, Matthew; to his grandchildren, Elisha, Cyrus, Arleigh, Sky, and Sydney; and to his other relatives and friends; and, be it further</w:t>
      </w:r>
    </w:p>
    <w:p>
      <w:r>
        <w:br w:type="page"/>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Richard Ritchie.</w:t>
      </w:r>
    </w:p>
    <w:p w:rsidR="003F3435" w:rsidRDefault="0032493E">
      <w:pPr>
        <w:jc w:val="both"/>
      </w:pPr>
    </w:p>
    <w:p w:rsidR="003F3435" w:rsidRDefault="0032493E">
      <w:pPr>
        <w:jc w:val="right"/>
      </w:pPr>
      <w:r>
        <w:t xml:space="preserve">Troxclair</w:t>
      </w:r>
    </w:p>
    <w:p w:rsidR="003F3435" w:rsidRDefault="0032493E">
      <w:pPr>
        <w:jc w:val="right"/>
      </w:pPr>
      <w:r>
        <w:t xml:space="preserve">Rogers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2003 was unanimously adopted by a rising vote of the House on May 18,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2003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