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89R664 PRL-F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w:t>
      </w:r>
      <w:r xml:space="preserve">
        <w:tab wTab="150" tlc="none" cTlc="0"/>
      </w:r>
      <w:r>
        <w:t xml:space="preserve">S.B.</w:t>
      </w:r>
      <w:r xml:space="preserve">
        <w:t> </w:t>
      </w:r>
      <w:r>
        <w:t xml:space="preserve">No.</w:t>
      </w:r>
      <w:r xml:space="preserve">
        <w:t> </w:t>
      </w:r>
      <w:r>
        <w:t xml:space="preserve">436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property value study hardship grant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48, Education Code, is amended by adding Section 48.282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48.282.</w:t>
      </w:r>
      <w:r>
        <w:rPr>
          <w:u w:val="single"/>
        </w:rPr>
        <w:t xml:space="preserve"> </w:t>
      </w:r>
      <w:r>
        <w:rPr>
          <w:u w:val="single"/>
        </w:rPr>
        <w:t xml:space="preserve"> </w:t>
      </w:r>
      <w:r>
        <w:rPr>
          <w:u w:val="single"/>
        </w:rPr>
        <w:t xml:space="preserve">PROPERTY VALUE STUDY HARDSHIP GRANTS.  (a)  For the 2025-2026 and 2026-2027 school years, from money appropriated for purposes of this section, the commissioner may administer a grant program to provide grants to eligible school districts to offset a reduction in the district's funding under the Foundation School Program resulting from the use of the state value for the district's taxable value of property as provided by Section 403.302(c), Government Code, for the 2024 and 2025 tax years.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of a grant awarded under this section is the difference, if that difference is greater than zero, between: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funding the school district would have received under Chapter 46, this chapter, and Chapter 49 for the applicable school year if the local value for the district's taxable value of property was used for the applicable tax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funding to which the district is entitled under Chapter 46, this chapter, and Chapter 49 for the applicable school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open-enrollment charter school is not eligible to receive a grant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Funding provided to a school district under this section is in addition to all other funding provided under Chapter 46, this chapter, and Chapter 49.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require a school district to submit, or request from a state agency or a political subdivision of this state, additional information as needed to make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total amount of grants awarded under this section for a school year may not exceed $175 million.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awarding grants under this section, the commissioner shall prioritize school districts experiencing the greatest percentage reduction in funding described by Subsection (a).</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commissioner may not adjust the amount of a grant awarded under this section based on data revisions received after the grant has been awarded.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determination by the commissioner under this section is final and may not be appealed.</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