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89R5840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Schatzline</w:t>
      </w:r>
      <w:r xml:space="preserve">
        <w:tab wTab="150" tlc="none" cTlc="0"/>
      </w:r>
      <w:r>
        <w:t xml:space="preserve">H.B.</w:t>
      </w:r>
      <w:r xml:space="preserve">
        <w:t> </w:t>
      </w:r>
      <w:r>
        <w:t xml:space="preserve">No.</w:t>
      </w:r>
      <w:r xml:space="preserve">
        <w:t> </w:t>
      </w:r>
      <w:r>
        <w:t xml:space="preserve">1418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in-custody informant testimony in a criminal trial.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John Nolley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38, Code of Criminal Procedure, is amended by adding Article 38.0751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38.0751.</w:t>
      </w:r>
      <w:r>
        <w:rPr>
          <w:u w:val="single"/>
        </w:rPr>
        <w:t xml:space="preserve"> </w:t>
      </w:r>
      <w:r>
        <w:rPr>
          <w:u w:val="single"/>
        </w:rPr>
        <w:t xml:space="preserve"> </w:t>
      </w:r>
      <w:r>
        <w:rPr>
          <w:u w:val="single"/>
        </w:rPr>
        <w:t xml:space="preserve">TESTIMONY OF IN-CUSTODY INFORMANT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w:t>
      </w:r>
      <w:r>
        <w:rPr>
          <w:u w:val="single"/>
        </w:rPr>
        <w:t xml:space="preserve"> </w:t>
      </w:r>
      <w:r>
        <w:rPr>
          <w:u w:val="single"/>
        </w:rPr>
        <w:t xml:space="preserve"> </w:t>
      </w:r>
      <w:r>
        <w:rPr>
          <w:u w:val="single"/>
        </w:rPr>
        <w:t xml:space="preserve">DEFINITIONS.  In this article: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"Attorney representing the state" means a district attorney, a criminal district attorney, or a county attorney with criminal jurisdiction.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"Benefit" means any of the following that are offered to or requested by an in-custody informant in exchange for testimony or that the informant could reasonably expect to receive in exchange for testimony: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reduction in sentence;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immunity from prosecution;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other form of leniency or special treatment.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"Correctional facility" has the meaning assigned by Section 1.07,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"In-custody informant" means a person to whom a defendant makes a statement against the defendant's interest while the person is confined in the same correctional facility as the defendant.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w:t>
      </w:r>
      <w:r>
        <w:rPr>
          <w:u w:val="single"/>
        </w:rPr>
        <w:t xml:space="preserve"> </w:t>
      </w:r>
      <w:r>
        <w:rPr>
          <w:u w:val="single"/>
        </w:rPr>
        <w:t xml:space="preserve"> </w:t>
      </w:r>
      <w:r>
        <w:rPr>
          <w:u w:val="single"/>
        </w:rPr>
        <w:t xml:space="preserve">APPLICABILITY.  This article applies to a proceeding in the prosecution of an offense under any of the following provisions of the Penal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19.02 (Murder);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20.03 (Kidnapping);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21.02 (Continuous Sexual Abuse of Young Child or Disabled Individual);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21.11 (Indecency with a Child);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Section 22.011 (Sexual Assault);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Section 22.02 (Aggravated Assault);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Section 22.04 (Injury to a Child, Elderly Individual, or Disabled Individual);</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Section 28.02 (Arson);</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Section 29.02 (Robbery);</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Section 29.03 (Aggravated Robbery); or</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Section 30.02 (Burglary).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3.</w:t>
      </w:r>
      <w:r>
        <w:rPr>
          <w:u w:val="single"/>
        </w:rPr>
        <w:t xml:space="preserve"> </w:t>
      </w:r>
      <w:r>
        <w:rPr>
          <w:u w:val="single"/>
        </w:rPr>
        <w:t xml:space="preserve"> </w:t>
      </w:r>
      <w:r>
        <w:rPr>
          <w:u w:val="single"/>
        </w:rPr>
        <w:t xml:space="preserve">PRETRIAL ADMISSIBILITY HEARING.  (a) </w:t>
      </w:r>
      <w:r>
        <w:rPr>
          <w:u w:val="single"/>
        </w:rPr>
        <w:t xml:space="preserve"> </w:t>
      </w:r>
      <w:r>
        <w:rPr>
          <w:u w:val="single"/>
        </w:rPr>
        <w:t xml:space="preserve">The testimony of an in-custody informant is not admissible against a defendant in a criminal trial, whether offered in the guilt or innocence phase or the punishment phase of the trial,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or before the 21st day before the date the trial begins, the attorney representing the state notifies the defendant of the state's intention to offer the testimony;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hearing conducted outside the presence of the jury, the judge finds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benefit offered to the informant was not of a type that would unduly influence the informant's testimony;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informant could be found by a rational juror to be reliable and credible;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value of the testimony is not outweighed by the danger of causing unfair prejudice to the defendant, causing unnecessary complication of the issues for the jury, or misleading the jury.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consider the following factors at the hearing: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benefit offered or provided to the in-custody informant;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time, date, location, and substance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statement allegedly made by the defendant to the informant;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informant statement that was given to a law enforcement agency, attorney representing the state, or other state official that implicates the defendant in the offense charged;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the informant has at any time changed the informant's statement or testimony regarding a statement allegedly made by the defendant and, if so, the time, date, and location of the change in the informant's statement or testimony and the persons present at that time;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complete criminal history of the informant, including any charges that were dismissed or reduced as part of a plea bargain;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previous prosecutions in which the informant testified or offered to testify against a defendant with whom the informant was confined in the same correctional facility, and any benefits offered or provided to the informant;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information relevant to the credibility of the informant and the credibility of the informant's statement;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any information relevant to the informant's character relating to truthfulness or untruthfulness;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expert testimony the court considers useful to make the finding required by Subsection (a)(2), including testimony regarding: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practices of the applicable law enforcement agency or attorney representing the state regarding in-custody informants;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use of in-custody informant testimony in similar cases;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risk factors associated with characteristics particular to the informant or the case.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judge may not inform the jury of the judge's ruling at the admissibility hearing.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defendant has the right to call the in-custody informant as a witness at the admissibility hearing.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4.</w:t>
      </w:r>
      <w:r>
        <w:rPr>
          <w:u w:val="single"/>
        </w:rPr>
        <w:t xml:space="preserve"> </w:t>
      </w:r>
      <w:r>
        <w:rPr>
          <w:u w:val="single"/>
        </w:rPr>
        <w:t xml:space="preserve"> </w:t>
      </w:r>
      <w:r>
        <w:rPr>
          <w:u w:val="single"/>
        </w:rPr>
        <w:t xml:space="preserve">REQUIREMENT TO PROVIDE INFORMATION AND RECORDS.  (a)  The attorney representing the state shall provide to the defendant and the defendant's attorney all information and records that the state intends to offer at the admissibility hearing, including the information described by Section 3(b).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representing the state must provide the information not later than the 10th day before the date the admissibility hearing begins, unless an extension of time has been granted under Section 5.</w:t>
      </w:r>
    </w:p>
    <w:p w:rsidR="003F3435" w:rsidRDefault="0032493E">
      <w:pPr>
        <w:spacing w:line="480" w:lineRule="auto"/>
        <w:ind w:firstLine="720"/>
        <w:jc w:val="both"/>
      </w:pPr>
      <w:r>
        <w:rPr>
          <w:u w:val="single"/>
        </w:rPr>
        <w:t xml:space="preserve">Sec.</w:t>
      </w:r>
      <w:r>
        <w:rPr>
          <w:u w:val="single"/>
        </w:rPr>
        <w:t xml:space="preserve"> </w:t>
      </w:r>
      <w:r>
        <w:rPr>
          <w:u w:val="single"/>
        </w:rPr>
        <w:t xml:space="preserve">5.</w:t>
      </w:r>
      <w:r>
        <w:rPr>
          <w:u w:val="single"/>
        </w:rPr>
        <w:t xml:space="preserve"> </w:t>
      </w:r>
      <w:r>
        <w:rPr>
          <w:u w:val="single"/>
        </w:rPr>
        <w:t xml:space="preserve"> </w:t>
      </w:r>
      <w:r>
        <w:rPr>
          <w:u w:val="single"/>
        </w:rPr>
        <w:t xml:space="preserve">CONTINUANCE.  (a)  The court shall, for sufficient cause shown, extend the time by which the attorney representing the state is required to provide notice under Section 3(a)(1) or provide information under Section 4(b).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court shall, for sufficient cause shown, continue an admissibility hearing under this article or continue the defendant's trial in accordance with Article 29.03 if the defendant or the attorney representing the state needs additional time to prepare for the admissibility hearing.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extension of time under Subsection (a) constitutes sufficient cause shown for continuing the admissibility hearing or the trial as described by Subsection (b) if the continuance is requested by the defendant.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6.</w:t>
      </w:r>
      <w:r>
        <w:rPr>
          <w:u w:val="single"/>
        </w:rPr>
        <w:t xml:space="preserve"> </w:t>
      </w:r>
      <w:r>
        <w:rPr>
          <w:u w:val="single"/>
        </w:rPr>
        <w:t xml:space="preserve"> </w:t>
      </w:r>
      <w:r>
        <w:rPr>
          <w:u w:val="single"/>
        </w:rPr>
        <w:t xml:space="preserve">JURY INSTRUCTION.  If testimony of an in-custody informant is admitted at trial, the court shall instruct the jury to disregard the informant's testimony unless the jury determines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benefit granted, promised, or offered to the informant did not unduly influence the testimony;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testimony is truthful.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to the admissibility of evidence in a criminal proceeding that commences on or after the effective date of this Act.  The admissibility of evidence in a criminal proceeding that commences before the effective date of this Act is governed by the law in effect on the date the proceeding commenced,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