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89R1888 CXP-D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Lopez of Bexar</w:t>
      </w:r>
      <w:r xml:space="preserve">
        <w:tab wTab="150" tlc="none" cTlc="0"/>
      </w:r>
      <w:r>
        <w:t xml:space="preserve">H.B.</w:t>
      </w:r>
      <w:r xml:space="preserve">
        <w:t> </w:t>
      </w:r>
      <w:r>
        <w:t xml:space="preserve">No.</w:t>
      </w:r>
      <w:r xml:space="preserve">
        <w:t> </w:t>
      </w:r>
      <w:r>
        <w:t xml:space="preserve">190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grant program to provide free or reduced-tuition prekindergarten classes to certain children.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E, Chapter 29, Education Code, is amended by adding Section 29.1535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29.1535.</w:t>
      </w:r>
      <w:r>
        <w:rPr>
          <w:u w:val="single"/>
        </w:rPr>
        <w:t xml:space="preserve"> </w:t>
      </w:r>
      <w:r>
        <w:rPr>
          <w:u w:val="single"/>
        </w:rPr>
        <w:t xml:space="preserve"> </w:t>
      </w:r>
      <w:r>
        <w:rPr>
          <w:u w:val="single"/>
        </w:rPr>
        <w:t xml:space="preserve">FREE AND REDUCED-TUITION PREKINDERGARTEN GRANT PROGRAM.  (a)  From money appropriated or otherwise available for the purpose, the commissioner, in collaboration with the Pre-K 4 SA early childhood initiative, shall establish and administer a grant program to support school districts, open-enrollment charter schools, and private schools in providing free or reduced-tuition prekindergarten classes to eligible children.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open-enrollment charter school, or private school shall use money received under the grant program to provide free or reduced-tuition prekindergarten classes to eligible children.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child is eligible to enroll in a prekindergarten class described by Subsection (b) if the child is at least three years of age.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the extent consistent with state and federal law, a prekindergarten class provided using money received under the grant program must be operated in accordance with any curriculum and teaching methods implemented by the Pre-K 4 SA early childhood initiative.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 later than September 1 of each year, the commissioner shall prepare and submit to the legislature a report on the grant program under this section.  The report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evaluation of the academic and developmental achievements of students enrolled in a prekindergarten class using money received under the grant program;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recommendations for legislative or other action.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commissioner shall adopt rules as necessary to establish and administer the grant program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grant program is abolished and this section expires January 1, 2031.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 later than September 1, 2026, the commissioner of education shall submit the initial report required by Section 29.1535, Education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applies beginning with the 2025-2026 school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