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88R13309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Springer</w:t>
      </w:r>
      <w:r xml:space="preserve">
        <w:tab wTab="150" tlc="none" cTlc="0"/>
      </w:r>
      <w:r>
        <w:t xml:space="preserve">S.B.</w:t>
      </w:r>
      <w:r xml:space="preserve">
        <w:t> </w:t>
      </w:r>
      <w:r>
        <w:t xml:space="preserve">No.</w:t>
      </w:r>
      <w:r xml:space="preserve">
        <w:t> </w:t>
      </w:r>
      <w:r>
        <w:t xml:space="preserve">1283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certain air permits for facilities attached to mines and quarries.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382, Health and Safety Code, is amended by adding Section 382.05187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382.05187.</w:t>
      </w:r>
      <w:r>
        <w:rPr>
          <w:u w:val="single"/>
        </w:rPr>
        <w:t xml:space="preserve"> </w:t>
      </w:r>
      <w:r>
        <w:rPr>
          <w:u w:val="single"/>
        </w:rPr>
        <w:t xml:space="preserve"> </w:t>
      </w:r>
      <w:r>
        <w:rPr>
          <w:u w:val="single"/>
        </w:rPr>
        <w:t xml:space="preserve">CERTAIN PRECONSTRUCTION PERMITS FOR MINES AND QUARRIES.  The commission may not issue a prevention of significant deterioration air permit to an operator of a facility, including a kiln,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attached to a mine or quarry;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located in a county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a population of more than 125,000;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adjacent to a county designated as a nonattainment area.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382.05187, Health and Safety Code, as added by this Act, applies to an application for a permit submitted to the Texas Commission on Environmental Quality on or after the effective date of this Act.</w:t>
      </w:r>
      <w:r xml:space="preserve">
        <w:t> </w:t>
      </w:r>
      <w:r xml:space="preserve">
        <w:t> </w:t>
      </w:r>
      <w:r>
        <w:t xml:space="preserve">An application for a permit submitted to the Texas Commission on Environmental Quality before the effective date of this Act is governed by the law in effect at the time the application was submitted,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