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88R8803 SRA-D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West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1464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prohibiting a retail seller of motor vehicles from imposing certain restrictions on the purchase of a motor vehicle.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E, Chapter 348, Finance Code, is amended by adding Section 348.415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348.415.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RESTRICTIONS ON CASH PURCHASES OR THIRD-PARTY FINANCING PROHIBITED. </w:t>
      </w:r>
      <w:r>
        <w:rPr>
          <w:u w:val="single"/>
        </w:rPr>
        <w:t xml:space="preserve"> </w:t>
      </w:r>
      <w:r>
        <w:rPr>
          <w:u w:val="single"/>
        </w:rPr>
        <w:t xml:space="preserve">(a) </w:t>
      </w:r>
      <w:r>
        <w:rPr>
          <w:u w:val="single"/>
        </w:rPr>
        <w:t xml:space="preserve"> </w:t>
      </w:r>
      <w:r>
        <w:rPr>
          <w:u w:val="single"/>
        </w:rPr>
        <w:t xml:space="preserve">A retail seller may not increase the cash price of a motor vehicle for a buyer who purchases a motor vehicle with: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buyer's own money;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loan from a third-party lender.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retail seller may not prohibit a prospective buyer from paying the cash price at the time of sale with: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prospective buyer's own money;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loan from a third-party lender.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retail seller may not make a false or misleading representation that is inconsistent with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The changes in law made by this Act apply only to an agreement entered into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1464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