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88R7336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1267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criminal offense of operation of a stash house;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20.07(b),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 a </w:t>
      </w:r>
      <w:r>
        <w:rPr>
          <w:u w:val="single"/>
        </w:rPr>
        <w:t xml:space="preserve">felony of the third degree, except that the offense is a felony of the second degree if it is shown on the trial of the offense that as a direct result of the commission of the offense: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became a victim of sexual assault, as defined by Section 22.011, or aggravated sexual assault, as defined by Section 22.021;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suffered serious bodily injury or death</w:t>
      </w:r>
      <w:r>
        <w:t xml:space="preserve"> [</w:t>
      </w:r>
      <w:r>
        <w:rPr>
          <w:strike/>
        </w:rPr>
        <w:t xml:space="preserve">Class A misdemeanor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the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