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88R26646 MZM-F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Oliverson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4657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4657: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Murr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4657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the attorney general to represent county officials in certain cases.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157.9015, Local Government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subsection applies only to a county with a population of more than one million. If a district or county attorney declines to represent a county official or employee in a suit described by Subsection (c), the county official or employee may request representation from the attorney general, and the attorney general may offer to represent the county official or employee.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4657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