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88R13179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LaMantia</w:t>
      </w:r>
      <w:r xml:space="preserve">
        <w:tab wTab="150" tlc="none" cTlc="0"/>
      </w:r>
      <w:r>
        <w:t xml:space="preserve">S.B.</w:t>
      </w:r>
      <w:r xml:space="preserve">
        <w:t> </w:t>
      </w:r>
      <w:r>
        <w:t xml:space="preserve">No.</w:t>
      </w:r>
      <w:r xml:space="preserve">
        <w:t> </w:t>
      </w:r>
      <w:r>
        <w:t xml:space="preserve">1825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required reportable disease training for certain health care practitioners.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3, Occupations Code, is amended by adding Chapter 117 to read as follows:</w:t>
      </w:r>
    </w:p>
    <w:p w:rsidR="003F3435" w:rsidRDefault="0032493E">
      <w:pPr>
        <w:spacing w:line="480" w:lineRule="auto"/>
        <w:jc w:val="center"/>
      </w:pPr>
      <w:r>
        <w:rPr>
          <w:u w:val="single"/>
        </w:rPr>
        <w:t xml:space="preserve">CHAPTER 117. TRAINING COURSE ON REPORTABLE DISEASES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117.001.</w:t>
      </w:r>
      <w:r>
        <w:rPr>
          <w:u w:val="single"/>
        </w:rPr>
        <w:t xml:space="preserve"> </w:t>
      </w:r>
      <w:r>
        <w:rPr>
          <w:u w:val="single"/>
        </w:rPr>
        <w:t xml:space="preserve"> </w:t>
      </w:r>
      <w:r>
        <w:rPr>
          <w:u w:val="single"/>
        </w:rPr>
        <w:t xml:space="preserve">DEFINITIONS.  In this chapter:</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"Qualifying health care practitioner" means an individual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holds a license, certificate, permit, or other authorization issued under this title to engage in a health care profession and who provides direct patient care;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required to report a suspected reportable disease to the local health authority under Section 81.042, Health and Safety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"Reportable disease" has the meaning assigned by Section 81.003, Health and Safety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117.002.</w:t>
      </w:r>
      <w:r>
        <w:rPr>
          <w:u w:val="single"/>
        </w:rPr>
        <w:t xml:space="preserve"> </w:t>
      </w:r>
      <w:r>
        <w:rPr>
          <w:u w:val="single"/>
        </w:rPr>
        <w:t xml:space="preserve"> </w:t>
      </w:r>
      <w:r>
        <w:rPr>
          <w:u w:val="single"/>
        </w:rPr>
        <w:t xml:space="preserve">REQUIRED TRAINING COURSE ON PROCEDURES FOR REPORTABLE DISEASE REPORTING FOR CERTAIN HEALTH CARE PRACTITIONERS.  (a) </w:t>
      </w:r>
      <w:r>
        <w:rPr>
          <w:u w:val="single"/>
        </w:rPr>
        <w:t xml:space="preserve"> </w:t>
      </w:r>
      <w:r>
        <w:rPr>
          <w:u w:val="single"/>
        </w:rPr>
        <w:t xml:space="preserve">A qualifying health care practitioner within the time prescribed by commission rule shall complete a training course approved by the executive commissioner on the procedures for reportable disease reporting.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the procedures for reportable disease reporting;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approved training course under Subsection (b) may not be less than three hours, and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information on the most recent list of reportable diseases maintained under Section 81.041,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reporting time requirements for each disease on the list;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overview of state agency rules relating to reportable diseases.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executive commissioner shall update the list of approved training courses described by Subsection (b) as necessary and consider for approval training courses conducted by health care facilities.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117.003.</w:t>
      </w:r>
      <w:r>
        <w:rPr>
          <w:u w:val="single"/>
        </w:rPr>
        <w:t xml:space="preserve"> </w:t>
      </w:r>
      <w:r>
        <w:rPr>
          <w:u w:val="single"/>
        </w:rPr>
        <w:t xml:space="preserve"> </w:t>
      </w:r>
      <w:r>
        <w:rPr>
          <w:u w:val="single"/>
        </w:rPr>
        <w:t xml:space="preserve">TRAINING REQUIRED FOR LICENSE RENEWAL.  A qualifying health care practitioner shall complete a training course described by Section 117.002 as part of the practitioner's continuing education requirements for renewal of a license, certificate, permit, or other authorization issued to the health care practitioner under this title.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w:t>
      </w:r>
      <w:r xml:space="preserve">
        <w:t> </w:t>
      </w:r>
      <w:r xml:space="preserve">
        <w:t> </w:t>
      </w:r>
      <w:r>
        <w:t xml:space="preserve">As soon as practicable after the effective date of this Act, the executive commissioner of the Health and Human Services Commission shall adopt rules necessary to implement Chapter 117, Occupations Code, as added by this Act.</w:t>
      </w:r>
    </w:p>
    <w:p w:rsidR="003F3435" w:rsidRDefault="0032493E">
      <w:pPr>
        <w:spacing w:line="480" w:lineRule="auto"/>
        <w:ind w:firstLine="720"/>
        <w:jc w:val="both"/>
      </w:pPr>
      <w:r>
        <w:t xml:space="preserve">(b)</w:t>
      </w:r>
      <w:r xml:space="preserve">
        <w:t> </w:t>
      </w:r>
      <w:r xml:space="preserve">
        <w:t> </w:t>
      </w:r>
      <w:r>
        <w:t xml:space="preserve">Notwithstanding Section 117.002, Occupations Code, as added by this Act, a health care practitioner is not required to comply with that section before September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