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Campos</w:t>
      </w:r>
      <w:r xml:space="preserve">
        <w:tab wTab="150" tlc="none" cTlc="0"/>
      </w:r>
      <w:r>
        <w:t xml:space="preserve">H.B.</w:t>
      </w:r>
      <w:r xml:space="preserve">
        <w:t> </w:t>
      </w:r>
      <w:r>
        <w:t xml:space="preserve">No.</w:t>
      </w:r>
      <w:r xml:space="preserve">
        <w:t> </w:t>
      </w:r>
      <w:r>
        <w:t xml:space="preserve">4898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jurisdiction of a court over a child in the managing conservatorship of the state after the child's 18th birthday.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263.608, Family Code, is amended as follows:</w:t>
      </w:r>
    </w:p>
    <w:p w:rsidR="003F3435" w:rsidRDefault="0032493E">
      <w:pPr>
        <w:spacing w:line="480" w:lineRule="auto"/>
        <w:ind w:firstLine="720"/>
        <w:jc w:val="both"/>
      </w:pPr>
      <w:r>
        <w:t xml:space="preserve">Sec.</w:t>
      </w:r>
      <w:r xml:space="preserve">
        <w:t> </w:t>
      </w:r>
      <w:r>
        <w:t xml:space="preserve">263.608.</w:t>
      </w:r>
      <w:r xml:space="preserve">
        <w:t> </w:t>
      </w:r>
      <w:r xml:space="preserve">
        <w:t> </w:t>
      </w:r>
      <w:r>
        <w:t xml:space="preserve">RIGHTS OF YOUNG ADULT.</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t xml:space="preserve">A young adult who consents to the continued jurisdiction of the court has the same rights as any other adult of the same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is prohibited from extending trial independence status as described by Section 263.6015(c) or extending jurisdiction over a young adult as described by Section 263.602 if a young adult objects in court or in writing.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w:t>
      </w:r>
      <w:r>
        <w:t xml:space="preserve">-thirds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4898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