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88R2710 KBB-D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Raymond</w:t>
      </w:r>
      <w:r xml:space="preserve">
        <w:tab wTab="150" tlc="none" cTlc="0"/>
      </w:r>
      <w:r>
        <w:t xml:space="preserve">H.J.R.</w:t>
      </w:r>
      <w:r xml:space="preserve">
        <w:t> </w:t>
      </w:r>
      <w:r>
        <w:t xml:space="preserve">No.</w:t>
      </w:r>
      <w:r xml:space="preserve">
        <w:t> </w:t>
      </w:r>
      <w:r>
        <w:t xml:space="preserve">41</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regarding the dedication by general law of money received by this state and money held in or deposited to an account or fund inside or outside the state treasury and the authorized expenditure or appropriation of money dedicated by general law.</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The legislature by general law may dedicate to one or more particular purposes the appropriation or expenditure of money: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received by this state from one or more particular sources;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held in or deposited to an identified account or fund inside or outside the state treasury.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of this section does not authorize a dedication by general law of money otherwise dedicated by this constitution in a manner that is inconsistent with that constitutional dedication.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the appropriation or expenditure of which is dedicated by general law to a purpose or purposes as described by Subsection (a) of this section may not be appropriated or expended for any purpose other than the dedicated purpose or purposes, except as authorized by a subsequently adopted general law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expressly amends or repeals the general law under which the money was dedicated;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adopted by a record vote of two-thirds of the membership of both houses of the legislature.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w:t>
      </w:r>
      <w:r>
        <w:rPr>
          <w:u w:val="single"/>
        </w:rPr>
        <w:t xml:space="preserve"> </w:t>
      </w:r>
      <w:r>
        <w:rPr>
          <w:u w:val="single"/>
        </w:rPr>
        <w:t xml:space="preserve"> </w:t>
      </w:r>
      <w:r>
        <w:rPr>
          <w:u w:val="single"/>
        </w:rPr>
        <w:t xml:space="preserve">(a)  This temporary provision applies to the constitutional amendment proposed by the 88th Legislature, Regular Session, 2023, regarding the dedication by general law of money received by this state and money held in or deposited to an account or fund inside or outside the state treasury and the authorized expenditure or appropriation of money dedicated by general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 25, Article VIII, of this constitution takes effect September 1, 2025, and applies only to appropriations authorized for or expenditures during a state fiscal year beginning on or after that date.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January 1, 2026.</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7, 2023.  The ballot shall be printed to provide for voting for or against the proposition: "The constitutional amendment regarding the dedication by general law of money received by this state and money held in or deposited to an account or fund inside or outside the state treasury and the authorized expenditure or appropriation of money dedicated by general law."</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