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88R10322(3) TBO-D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Murr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376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service of an admired Medina County elected official drew to a close when Glenn Klaus retired as justice of the peace;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Over the course of his tenure, Judge Klaus served his fellow citizens with distinction, ably meeting the myriad responsibilities of his office;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Through his dedicated leadership and commitment to good governance, Glenn Klaus has helped make Medina County an even better place in which to live and work, and he has set a standard of excellence to which others may aspire;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commend Glenn Klaus for his service as a Medina County justice of the peace and extend to him sincere best wishes for the future;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Judge Klaus as an expression of high regard by the Texas House of Representatives.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376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