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88R12373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Price</w:t>
      </w:r>
      <w:r xml:space="preserve">
        <w:tab wTab="150" tlc="none" cTlc="0"/>
      </w:r>
      <w:r>
        <w:t xml:space="preserve">H.B.</w:t>
      </w:r>
      <w:r xml:space="preserve">
        <w:t> </w:t>
      </w:r>
      <w:r>
        <w:t xml:space="preserve">No.</w:t>
      </w:r>
      <w:r xml:space="preserve">
        <w:t> </w:t>
      </w:r>
      <w:r>
        <w:t xml:space="preserve">4183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waiver of the waiting period for a marriage ceremony.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2.204(c), Family Code, is amended to read as follows:</w:t>
      </w:r>
    </w:p>
    <w:p w:rsidR="003F3435" w:rsidRDefault="0032493E">
      <w:pPr>
        <w:spacing w:line="480" w:lineRule="auto"/>
        <w:ind w:firstLine="720"/>
        <w:jc w:val="both"/>
      </w:pPr>
      <w:r>
        <w:t xml:space="preserve">(c)</w:t>
      </w:r>
      <w:r xml:space="preserve">
        <w:t> </w:t>
      </w:r>
      <w:r xml:space="preserve">
        <w:t> </w:t>
      </w:r>
      <w:r>
        <w:t xml:space="preserve">An applicant may request a judge of a court with jurisdiction in family law cases, a justice of the supreme court, a judge of the court of criminal appeals, a county judge, [</w:t>
      </w:r>
      <w:r>
        <w:rPr>
          <w:strike/>
        </w:rPr>
        <w:t xml:space="preserve">or</w:t>
      </w:r>
      <w:r>
        <w:t xml:space="preserve">] a judge of a court of appeals</w:t>
      </w:r>
      <w:r>
        <w:rPr>
          <w:u w:val="single"/>
        </w:rPr>
        <w:t xml:space="preserve">, or a justice of the peace</w:t>
      </w:r>
      <w:r>
        <w:t xml:space="preserve"> for a written waiver permitting the marriage ceremony to take place during the 72-hour period immediately following the issuance of the marriage license.  If the judge </w:t>
      </w:r>
      <w:r>
        <w:rPr>
          <w:u w:val="single"/>
        </w:rPr>
        <w:t xml:space="preserve">or justice</w:t>
      </w:r>
      <w:r>
        <w:t xml:space="preserve"> finds that there is good cause for the marriage to take place during the period, the judge </w:t>
      </w:r>
      <w:r>
        <w:rPr>
          <w:u w:val="single"/>
        </w:rPr>
        <w:t xml:space="preserve">or justice</w:t>
      </w:r>
      <w:r>
        <w:t xml:space="preserve"> shall sign the waiver.  Notwithstanding any other provision of law, a judge </w:t>
      </w:r>
      <w:r>
        <w:rPr>
          <w:u w:val="single"/>
        </w:rPr>
        <w:t xml:space="preserve">or justice</w:t>
      </w:r>
      <w:r>
        <w:t xml:space="preserve"> under this section has the authority to sign a waiver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marriage ceremony for which a marriage license application is filed on or after the effective date of this Act.  A marriage ceremony for which a marriage license application is filed before the effective date of this Act is governed by the law in effect on the date the application was filed,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