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88R1274 SCL-D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Birdwell</w:t>
      </w:r>
      <w:r xml:space="preserve">
        <w:tab wTab="150" tlc="none" cTlc="0"/>
      </w:r>
      <w:r>
        <w:t xml:space="preserve">S.B.</w:t>
      </w:r>
      <w:r xml:space="preserve">
        <w:t> </w:t>
      </w:r>
      <w:r>
        <w:t xml:space="preserve">No.</w:t>
      </w:r>
      <w:r xml:space="preserve">
        <w:t> </w:t>
      </w:r>
      <w:r>
        <w:t xml:space="preserve">1898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emergency medical transport by fire fighters of certain patients.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773, Health and Safety Code, is amended by adding Section 773.0043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773.0043.</w:t>
      </w:r>
      <w:r>
        <w:rPr>
          <w:u w:val="single"/>
        </w:rPr>
        <w:t xml:space="preserve"> </w:t>
      </w:r>
      <w:r>
        <w:rPr>
          <w:u w:val="single"/>
        </w:rPr>
        <w:t xml:space="preserve"> </w:t>
      </w:r>
      <w:r>
        <w:rPr>
          <w:u w:val="single"/>
        </w:rPr>
        <w:t xml:space="preserve">FIRE FIGHTER EXEMPTION FOR CERTAIN PATIENTS; MEDICAL TREATMENT AND TRANSPORT PROTOCOLS. (a) In this section, "fire fighter"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who is defined as fire protection personnel under Section 419.021, Government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individual who is a volunteer fire fighter certified by the Texas Commission on Fire Protection or the State Firefighters' and Fire Marshals' Association of Texas.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773.041, a fire fighter, regardless of whether the fire fighter is licensed as an emergency medical services provider, may transport a sick or injured patient to a health care facility in a vehicle other than an emergency medical services vehicle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appropriate emergency medical services provider: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notified of the patient's clinical condition;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unable to provide emergency medical services imminently at the patient's location;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medical treatment and transport protocols for the patient's apparent clinical condition authorize transport of the patient in a vehicle other than an emergency medical services vehicle.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emergency medical services and trauma care system shall develop the medical treatment and transport protocols necessary to implement this section for the area covered by the system and provide notice of the protocols to the emergency medical services providers and fire fighters in that area.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January 1, 2024, each emergency medical services and trauma care system shall develop medical treatment and transport protocols necessary to implement Section 773.0043, Health and Safety Code, as added by this Act, and provide notice of the protocols to the emergency medical services providers and fire fighters in the area.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773.0043, Health and Safety Code, as added by this Act, applies only to transportation provided on or after January 1, 2024.</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