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2064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Meanwhile Brewing Company in Austin distinguished itself with its success at the 2022 and 2023 World Beer Cup competitions;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Established in 1996 and organized by the Brewers Association, the World Beer Cup is held annually in conjunction with the Craft Brewers Conference and BrewExpo America; during the competition, breweries from across the globe present beverages in more than 100 categories, and gold, silver, and bronze awards are presented to excellent examples of each type;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Located in South Austin, Meanwhile Brewing Company won a gold award in the Munich-style Helles category at the 2022 World Beer Cup for its Meanwhile Lager; in 2023, the brewery won a silver award in the herb and spice beer category for Fore!, a Kölsch brewed with fresh lemon peel and black tea; this year's competition featured more than 10,200 total entries from nearly 2,400 breweries;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talented staff of Meanwhile Brewing Company are making creative contributions to the global beer industry, and their success at the World Beer Cup is a testament to the skill, enthusiasm, and dedication that they bring to their craft;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Meanwhile Brewing Company on winning a gold award at the 2022 World Beer Cup and a silver award at the 2023 World Beer Cup and extend to all those associated with the brewery sincere best wishes for continued success;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the company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Flores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2064 was adopted by the House on May 29,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2064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