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88R532 SRA-F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Schwertner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333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location where certain sales are consummated for the purpose of municipal sales and use taxes.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321.203, Tax Code, is amended by adding Subsection (o)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(o)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any other law, a location that under the law in effect on August 31, 2019, was a place of business of the retailer for purposes of an economic development agreement under Chapter 380, 504, or 505, Local Government Code, entered into by a retailer and a municipality on or before August 31, 2019, remains a place of business of the retailer for the term of the agreement.  During the term of the agreement, the sale of a taxable item is consummated at that place of business if the sale would have been consummated at that place of business under the law in effect on August 31, 2019.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comptroller of public accounts shall adopt rules implementing Section 321.203(o), Tax Code, as added by this Act, not later than October 1, 2023.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333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