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Gutierrez, Eckhardt, Menéndez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913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liability insurance for firearm ownership.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411, Government Code, is amended by adding Subchapter T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T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LIABILITY INSURANCE FOR FIREARMS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411.701.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"Firearm" means any weapon that is designed, made, or adapted to expel a projectile by the action of an explosive and includes, but is not limited to, pistols, rifles, shotguns, and machine guns.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"Liability insurance" means insurance coverage that provides financial protection against lawsuits arising from the use or ownership of a firearm.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411.702.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INSURANCE COVERAGE REQUIREMENT.  (a) Every owner of a firearm shall maintain liability insurance coverage in an amount of not less than $100,000 per occurrence for injury to or death of one person, and in an amount of not less than $300,000 for injury to or death of two or more people, and in an amount of not less than $50,000 for damage to property.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liability insurance coverage required by this section shall be in effect at all times that the firearm is in the possession of the owner.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411.703.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PROOF OF INSURANCE.  (a) Every owner of a firearm shall provide proof of insurance coverage as required by this chapter to any law enforcement officer upon request.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Every owner of a firearm in Texas shall provide proof of insurance coverage to the department upon application for a firearms license or renewal of a firearms license.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411.704.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EXCEPTIONS.  This subchapter shall not apply to members of the armed forces of the United States or the National Guard, when on duty, or to peace officers.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411.705.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ADMINISTRATIVE PENALTIES.  (a) Any person who violates any provision of this chapter shall be subject to a fine of not less than $100 and not more than $1,000 for each violation.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person who knowingly provides false proof of insurance coverage shall be subject to a fine of not less than $1,000 and not more than $10,000 for each violation.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