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Harrison</w:t>
      </w:r>
      <w:r xml:space="preserve">
        <w:tab wTab="150" tlc="none" cTlc="0"/>
      </w:r>
      <w:r>
        <w:t xml:space="preserve">H.B.</w:t>
      </w:r>
      <w:r xml:space="preserve">
        <w:t> </w:t>
      </w:r>
      <w:r>
        <w:t xml:space="preserve">No.</w:t>
      </w:r>
      <w:r xml:space="preserve">
        <w:t> </w:t>
      </w:r>
      <w:r>
        <w:t xml:space="preserve">4803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municipal and county ad valorem tax relief.</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140, Local Government Code, is amended by adding Section 140.014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140.014.</w:t>
      </w:r>
      <w:r>
        <w:rPr>
          <w:u w:val="single"/>
        </w:rPr>
        <w:t xml:space="preserve"> </w:t>
      </w:r>
      <w:r>
        <w:rPr>
          <w:u w:val="single"/>
        </w:rPr>
        <w:t xml:space="preserve"> </w:t>
      </w:r>
      <w:r>
        <w:rPr>
          <w:u w:val="single"/>
        </w:rPr>
        <w:t xml:space="preserve">AD VALOREM TAX RELIEF USING CERTAIN SURPLUS REVENUE.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"Consumer price index" means the index that the comptroller considers to most accurately report changes in the purchasing power of the dollar for consumers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"Inflation rate" means the amount, expressed in decimal form rounded to the nearest thousandth, computed by determining the percentage change in the consumer price index for the most recent 12-month period for which the index can be determined as compared to the consumer price index for the 12-month period preceding that period.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"Population growth rate" means the rate of growth of the state's population during the preceding calendar year, expressed in decimal form rounded to the nearest thousandth, determined by the board in accordance with the most recent population estimates published by the United States Census Bureau.</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"Surplus revenue" means the total amount of money received by a county or municipality in the preceding fiscal year in excess of the amount computed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multiplying the amount of the adopted budget of the county or municipality for the preceding fiscal year by the sum of 1 and the population growth rate;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multiplying the amount computed under Paragraph (A) by the sum of 1 and the inflation rate.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By July 1 or as soon thereafter as practicable, the comptroller shall determine the rate of inflation in this state and publish that rate in the Texas Register.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county or municipality shall use the total amount of surplus revenue generated by the county or municipality in the preceding fiscal year for ad valorem tax relief in the current fiscal year. </w:t>
      </w:r>
      <w:r>
        <w:rPr>
          <w:u w:val="single"/>
        </w:rPr>
        <w:t xml:space="preserve"> </w:t>
      </w:r>
      <w:r>
        <w:rPr>
          <w:u w:val="single"/>
        </w:rPr>
        <w:t xml:space="preserve">The relief must be provided in a manner that reduces the amount of ad valorem taxes that a property owner would otherwise be required to pay.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26, Tax Code, is amended by adding Section 26.046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26.046.</w:t>
      </w:r>
      <w:r>
        <w:rPr>
          <w:u w:val="single"/>
        </w:rPr>
        <w:t xml:space="preserve"> </w:t>
      </w:r>
      <w:r>
        <w:rPr>
          <w:u w:val="single"/>
        </w:rPr>
        <w:t xml:space="preserve"> </w:t>
      </w:r>
      <w:r>
        <w:rPr>
          <w:u w:val="single"/>
        </w:rPr>
        <w:t xml:space="preserve">ANNUAL LIMIT ON TAX RATE OF COUNTY OR MUNICIPALITY.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"Consumer price index" means the index that the comptroller considers to most accurately report changes in the purchasing power of the dollar for consumers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"Inflation rate" means the amount, expressed in decimal form rounded to the nearest thousandth, computed by determining the percentage change in the consumer price index for the most recent 12-month period for which the index can be determined as compared to the consumer price index for the 12-month period preceding that period.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"Population growth rate" means the rate of growth of the state's population during the preceding calendar year, expressed in decimal form rounded to the nearest thousandth, determined by the board in accordance with the most recent population estimates published by the United States Census Bureau.</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By July 1 or as soon thereafter as practicable, the  comptroller shall determine the rate of inflation in this state and publish that rate in the Texas Register.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including Sections 26.042 and 26.07, the governing body of a county or municipality may not adopt a tax rate for a tax year that exceeds the rate, expressed in dollars per $100 of taxable value, computed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multiplying the total amount of money received by the county or municipality from all sources during the preceding tax year by the sum of 1 and the population growth rate;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multiplying the amount computed under Subdivision (1) by the sum of 1 and the inflation rate;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subtracting from the amount computed under Subdivision (2) the amount of money estimated to be received by the county or municipality in the current tax year from all sources other than ad valorem taxes;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dividing the amount computed under Subdivision (3) by the current total value for the county or municipality.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By August 7 or as soon thereafter as practicable, an officer or employee designated by the governing body of a county or municipality shall calculate the rate described by Subsection (c) and submit the rate to the governing body of the county or municipality.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Subsection (c), the governing body of a county or municipality may adopt a tax rate for a tax year that exceeds the rate computed under that subsection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the adoption of a tax rate for that tax year the county or municipality pledged the taxes for payment of a debt;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adopting a rate less than or equal to the rate  computed under that subsection would impair the obligation of the contract creating the debt.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140.014, Local Government Code, as added by this Act, applies only to a county or municipal fiscal year that begins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26.046, Tax Code, as added by this Act, applies only to the ad valorem tax rate adopted by a county or municipality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4803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