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88R12733 AJZ-D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Reynolds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2833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creating a criminal offense for the unlawful transfer of a semiautomatic rifle.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Chapter 46, Penal Code, is amended by adding Section 46.055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46.055.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UNLAWFUL TRANSFER OF SEMIAUTOMATIC RIFLE.  (a)  A person commits an offense if the person knowingly sells, rents, leases, or otherwise transfers, or offers to sell, rent, lease, or otherwise transfer a semiautomatic rifle.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offense under this section is a state jail felony.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If conduct that constitutes an offense under this section also constitutes an offense under any other law, the actor may be prosecuted under this section, the other law, or both.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2833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