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88R2528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Meza</w:t>
      </w:r>
      <w:r xml:space="preserve">
        <w:tab wTab="150" tlc="none" cTlc="0"/>
      </w:r>
      <w:r>
        <w:t xml:space="preserve">H.B.</w:t>
      </w:r>
      <w:r xml:space="preserve">
        <w:t> </w:t>
      </w:r>
      <w:r>
        <w:t xml:space="preserve">No.</w:t>
      </w:r>
      <w:r xml:space="preserve">
        <w:t> </w:t>
      </w:r>
      <w:r>
        <w:t xml:space="preserve">496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health benefit plan coverage for conversion therapy.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E, Title 8, Insurance Code, is amended by adding Chapter 1372 to read as follows:</w:t>
      </w:r>
    </w:p>
    <w:p w:rsidR="003F3435" w:rsidRDefault="0032493E">
      <w:pPr>
        <w:spacing w:line="480" w:lineRule="auto"/>
        <w:jc w:val="center"/>
      </w:pPr>
      <w:r>
        <w:rPr>
          <w:u w:val="single"/>
        </w:rPr>
        <w:t xml:space="preserve">CHAPTER 1372. PROHIBITION ON COVERAGE OF CONVERSION THERAPY</w:t>
      </w:r>
    </w:p>
    <w:p w:rsidR="003F3435" w:rsidRDefault="0032493E">
      <w:pPr>
        <w:spacing w:line="480" w:lineRule="auto"/>
        <w:ind w:firstLine="720"/>
        <w:jc w:val="both"/>
      </w:pPr>
      <w:r>
        <w:rPr>
          <w:u w:val="single"/>
        </w:rPr>
        <w:t xml:space="preserve">Sec.</w:t>
      </w:r>
      <w:r>
        <w:rPr>
          <w:u w:val="single"/>
        </w:rPr>
        <w:t xml:space="preserve"> </w:t>
      </w:r>
      <w:r>
        <w:rPr>
          <w:u w:val="single"/>
        </w:rPr>
        <w:t xml:space="preserve">1372.001.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"Conversion therapy" means a practice or treatment provided to a person by a health care provider or nonprofit organization that seeks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change the person's sexual orientation, including by attempting to change the person's behavior or gender identity or expression;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eliminate or reduce the person's sexual or romantic attractions or feelings toward individuals of the same sex.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"Gender identity or expression" means a person's having, or being perceived as having, a gender-related identity, appearance, expression, or behavior, whether or not that identity, appearance, expression, or behavior is different from that commonly associated with the person's assigned sex at birth.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"Sexual orientation" means the actual or perceived status of a person  with respect to the person's sexuality.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1372.002.</w:t>
      </w:r>
      <w:r>
        <w:rPr>
          <w:u w:val="single"/>
        </w:rPr>
        <w:t xml:space="preserve"> </w:t>
      </w:r>
      <w:r>
        <w:rPr>
          <w:u w:val="single"/>
        </w:rPr>
        <w:t xml:space="preserve"> </w:t>
      </w:r>
      <w:r>
        <w:rPr>
          <w:u w:val="single"/>
        </w:rPr>
        <w:t xml:space="preserve">APPLICABILITY OF CHAPTER.  (a) </w:t>
      </w:r>
      <w:r>
        <w:rPr>
          <w:u w:val="single"/>
        </w:rPr>
        <w:t xml:space="preserve"> </w:t>
      </w:r>
      <w:r>
        <w:rPr>
          <w:u w:val="single"/>
        </w:rPr>
        <w:t xml:space="preserve">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insurance company;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group hospital service corporation operating under Chapter 842;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health maintenance organization operating under Chapter 843;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approved nonprofit health corporation that holds a certificate of authority under Chapter 844;</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multiple employer welfare arrangement that holds a certificate of authority under Chapter 846;</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stipulated premium company operating under Chapter 884;</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fraternal benefit society operating under Chapter 885;</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Lloyd's plan operating under Chapter 941;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an exchange operating under Chapter 942.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this 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small employer health benefit plan subject to Chapter 1501, including coverage provided through a health group cooperative under Subchapter B of that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standard health benefit plan issued under Chapter 1507;</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basic coverage plan under Chapter 1551;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basic plan under Chapter 1575;</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primary care coverage plan under Chapter 1579;</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plan providing basic coverage under Chapter 1601;</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health benefits provided by or through a church benefits board under Subchapter I, Chapter 22, Business Organizations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state Medicaid program, including the Medicaid managed care program operated under Chapter 533, Government Code;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child health plan program under Chapter 62, Health and Safety Code;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regional or local health care program operated under Section 75.104, Health and Safety Code;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 self-funded health benefit plan sponsored by a professional employer organization under Chapter 91, Labor Code;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county employee group health benefits provided under Chapter 157, Local Government Code;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health and accident coverage provided by a risk pool created under Chapter 172, Local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1372.003.</w:t>
      </w:r>
      <w:r>
        <w:rPr>
          <w:u w:val="single"/>
        </w:rPr>
        <w:t xml:space="preserve"> </w:t>
      </w:r>
      <w:r>
        <w:rPr>
          <w:u w:val="single"/>
        </w:rPr>
        <w:t xml:space="preserve"> </w:t>
      </w:r>
      <w:r>
        <w:rPr>
          <w:u w:val="single"/>
        </w:rPr>
        <w:t xml:space="preserve">PROHIBITED COVERAGE.  A health benefit plan issuer may not provide coverage for conversion therapy.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 health benefit plan that is delivered, issued for delivery, or renewed on or after January 1, 2024. </w:t>
      </w:r>
      <w:r>
        <w:t xml:space="preserve"> </w:t>
      </w:r>
      <w:r>
        <w:t xml:space="preserve">A health benefit plan that is delivered, issued for delivery, or renewed before January 1, 2024,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