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88R4813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H.B.</w:t>
      </w:r>
      <w:r xml:space="preserve">
        <w:t> </w:t>
      </w:r>
      <w:r>
        <w:t xml:space="preserve">No.</w:t>
      </w:r>
      <w:r xml:space="preserve">
        <w:t> </w:t>
      </w:r>
      <w:r>
        <w:t xml:space="preserve">2115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damages in certain claims involving sexual assault or sexual harassment.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21.2585, Labor Code, is amended by amending Subsection (d) and adding Subsections (f), (f-1), and (f-2) to read as follows:</w:t>
      </w:r>
    </w:p>
    <w:p w:rsidR="003F3435" w:rsidRDefault="0032493E">
      <w:pPr>
        <w:spacing w:line="480" w:lineRule="auto"/>
        <w:ind w:firstLine="720"/>
        <w:jc w:val="both"/>
      </w:pPr>
      <w:r>
        <w:t xml:space="preserve">(d)</w:t>
      </w:r>
      <w:r xml:space="preserve">
        <w:t> </w:t>
      </w:r>
      <w:r xml:space="preserve">
        <w:t> </w:t>
      </w:r>
      <w:r>
        <w:rPr>
          <w:u w:val="single"/>
        </w:rPr>
        <w:t xml:space="preserve">Except as provided by Subsection (f), the</w:t>
      </w:r>
      <w:r>
        <w:t xml:space="preserve"> [</w:t>
      </w:r>
      <w:r>
        <w:rPr>
          <w:strike/>
        </w:rPr>
        <w:t xml:space="preserve">The</w:t>
      </w:r>
      <w:r>
        <w:t xml:space="preserve">] sum of the amount of compensatory damages awarded under this section for future pecuniary losses, emotional pain, suffering, inconvenience, mental anguish, loss of enjoyment of life, and other nonpecuniary losses and the amount of punitive damages awarded under this section may not exceed, for each complainant:</w:t>
      </w:r>
    </w:p>
    <w:p w:rsidR="003F3435" w:rsidRDefault="0032493E">
      <w:pPr>
        <w:spacing w:line="480" w:lineRule="auto"/>
        <w:ind w:firstLine="1440"/>
        <w:jc w:val="both"/>
      </w:pPr>
      <w:r>
        <w:t xml:space="preserve">(1)</w:t>
      </w:r>
      <w:r xml:space="preserve">
        <w:t> </w:t>
      </w:r>
      <w:r xml:space="preserve">
        <w:t> </w:t>
      </w:r>
      <w:r>
        <w:t xml:space="preserve">$50,000 in the case of a respondent that has fewer than 101 employees;</w:t>
      </w:r>
    </w:p>
    <w:p w:rsidR="003F3435" w:rsidRDefault="0032493E">
      <w:pPr>
        <w:spacing w:line="480" w:lineRule="auto"/>
        <w:ind w:firstLine="1440"/>
        <w:jc w:val="both"/>
      </w:pPr>
      <w:r>
        <w:t xml:space="preserve">(2)</w:t>
      </w:r>
      <w:r xml:space="preserve">
        <w:t> </w:t>
      </w:r>
      <w:r xml:space="preserve">
        <w:t> </w:t>
      </w:r>
      <w:r>
        <w:t xml:space="preserve">$100,000 in the case of a respondent that has more than 100 and fewer than 201 employees;</w:t>
      </w:r>
    </w:p>
    <w:p w:rsidR="003F3435" w:rsidRDefault="0032493E">
      <w:pPr>
        <w:spacing w:line="480" w:lineRule="auto"/>
        <w:ind w:firstLine="1440"/>
        <w:jc w:val="both"/>
      </w:pPr>
      <w:r>
        <w:t xml:space="preserve">(3)</w:t>
      </w:r>
      <w:r xml:space="preserve">
        <w:t> </w:t>
      </w:r>
      <w:r xml:space="preserve">
        <w:t> </w:t>
      </w:r>
      <w:r>
        <w:t xml:space="preserve">$200,000 in the case of a respondent that has more than 200 and fewer than 501 employees; and</w:t>
      </w:r>
    </w:p>
    <w:p w:rsidR="003F3435" w:rsidRDefault="0032493E">
      <w:pPr>
        <w:spacing w:line="480" w:lineRule="auto"/>
        <w:ind w:firstLine="1440"/>
        <w:jc w:val="both"/>
      </w:pPr>
      <w:r>
        <w:t xml:space="preserve">(4)</w:t>
      </w:r>
      <w:r xml:space="preserve">
        <w:t> </w:t>
      </w:r>
      <w:r xml:space="preserve">
        <w:t> </w:t>
      </w:r>
      <w:r>
        <w:t xml:space="preserve">$300,000 in the case of a respondent that has more than 500 employees.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Subsection (d) does not apply to an action involving: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sexual assault;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unlawful employment practice based on sex in violation of this chapter;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retaliation that violates Section 21.055 in connection with an unlawful employment practice based on sex in violation of this chapter.</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For purposes of Subsection (f), "sexual assault"</w:t>
      </w:r>
      <w:r>
        <w:rPr>
          <w:u w:val="single"/>
        </w:rPr>
        <w:t xml:space="preserve"> </w:t>
      </w:r>
      <w:r>
        <w:rPr>
          <w:u w:val="single"/>
        </w:rPr>
        <w:t xml:space="preserve">means conduct described by Section 22.011 or 22.021, Penal Code.</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An action described by Subsection (f) is subject to Section 41.008, Civil Practice and Remedies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action filed on or after the effective date of this Act.  An action that is filed before the effective date of this Act is governed by the law applicable to the action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