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88R25205 SRA-F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Troxclair, Spiller, Stucky,</w:t>
      </w:r>
      <w:r xml:space="preserve">
        <w:tab wTab="150" tlc="none" cTlc="0"/>
      </w:r>
      <w:r>
        <w:t xml:space="preserve">H.B.</w:t>
      </w:r>
      <w:r xml:space="preserve">
        <w:t> </w:t>
      </w:r>
      <w:r>
        <w:t xml:space="preserve">No.</w:t>
      </w:r>
      <w:r xml:space="preserve">
        <w:t> </w:t>
      </w:r>
      <w:r>
        <w:t xml:space="preserve">4090</w:t>
      </w:r>
    </w:p>
    <w:p w:rsidR="003F3435" w:rsidRDefault="0032493E">
      <w:pPr>
        <w:jc w:val="both"/>
      </w:pPr>
      <w:r xml:space="preserve">
        <w:t> </w:t>
      </w:r>
      <w:r xml:space="preserve">
        <w:t> </w:t>
      </w:r>
      <w:r xml:space="preserve">
        <w:t> </w:t>
      </w:r>
      <w:r xml:space="preserve">
        <w:t> </w:t>
      </w:r>
      <w:r xml:space="preserve">
        <w:t> </w:t>
      </w:r>
      <w:r>
        <w:t xml:space="preserve">Harris of Anderson, Harris of Williamson</w:t>
      </w:r>
    </w:p>
    <w:p w:rsidR="003F3435" w:rsidRDefault="0032493E">
      <w:pPr>
        <w:spacing w:before="240" w:line="480" w:lineRule="auto"/>
        <w:jc w:val="both"/>
      </w:pPr>
      <w:r>
        <w:t xml:space="preserve">Substitute the following for</w:t>
      </w:r>
      <w:r xml:space="preserve">
        <w:t> </w:t>
      </w:r>
      <w:r>
        <w:t xml:space="preserve">H.B.</w:t>
      </w:r>
      <w:r xml:space="preserve">
        <w:t> </w:t>
      </w:r>
      <w:r>
        <w:t xml:space="preserve">No.</w:t>
      </w:r>
      <w:r xml:space="preserve">
        <w:t> </w:t>
      </w:r>
      <w:r>
        <w:t xml:space="preserve">4090:</w:t>
      </w:r>
    </w:p>
    <w:p w:rsidR="003F3435" w:rsidRDefault="0032493E">
      <w:pPr>
        <w:spacing w:line="480" w:lineRule="auto"/>
        <w:jc w:val="both"/>
        <w:tabs>
          <w:tab w:val="right" w:leader="none" w:pos="9350"/>
        </w:tabs>
      </w:pPr>
      <w:r>
        <w:t xml:space="preserve">By:</w:t>
      </w:r>
      <w:r xml:space="preserve">
        <w:t> </w:t>
      </w:r>
      <w:r xml:space="preserve">
        <w:t> </w:t>
      </w:r>
      <w:r>
        <w:t xml:space="preserve">Craddick</w:t>
      </w:r>
      <w:r xml:space="preserve">
        <w:tab wTab="150" tlc="none" cTlc="0"/>
      </w:r>
      <w:r>
        <w:t xml:space="preserve">C.S.H.B.</w:t>
      </w:r>
      <w:r xml:space="preserve">
        <w:t> </w:t>
      </w:r>
      <w:r>
        <w:t xml:space="preserve">No.</w:t>
      </w:r>
      <w:r xml:space="preserve">
        <w:t> </w:t>
      </w:r>
      <w:r>
        <w:t xml:space="preserve">4090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of revenue attributable to the imposition of a hotel occupancy tax by certain counties for certain venue projects and the period for which certain hotel occupancy taxes may be imposed.</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334.2515, Local Government Code, is amended to read as follows:</w:t>
      </w:r>
    </w:p>
    <w:p w:rsidR="003F3435" w:rsidRDefault="0032493E">
      <w:pPr>
        <w:spacing w:line="480" w:lineRule="auto"/>
        <w:ind w:firstLine="720"/>
        <w:jc w:val="both"/>
      </w:pPr>
      <w:r>
        <w:t xml:space="preserve">Sec.</w:t>
      </w:r>
      <w:r xml:space="preserve">
        <w:t> </w:t>
      </w:r>
      <w:r>
        <w:t xml:space="preserve">334.2515.</w:t>
      </w:r>
      <w:r xml:space="preserve">
        <w:t> </w:t>
      </w:r>
      <w:r xml:space="preserve">
        <w:t> </w:t>
      </w:r>
      <w:r>
        <w:t xml:space="preserve">APPLICATION.</w:t>
      </w:r>
      <w:r xml:space="preserve">
        <w:t> </w:t>
      </w:r>
      <w:r xml:space="preserve">
        <w:t> </w:t>
      </w:r>
      <w:r>
        <w:t xml:space="preserve">Except as provided by Sections 334.2516</w:t>
      </w:r>
      <w:r>
        <w:rPr>
          <w:u w:val="single"/>
        </w:rPr>
        <w:t xml:space="preserve">,</w:t>
      </w:r>
      <w:r>
        <w:t xml:space="preserve"> [</w:t>
      </w:r>
      <w:r>
        <w:rPr>
          <w:strike/>
        </w:rPr>
        <w:t xml:space="preserve">and</w:t>
      </w:r>
      <w:r>
        <w:t xml:space="preserve">] 334.2518</w:t>
      </w:r>
      <w:r>
        <w:rPr>
          <w:u w:val="single"/>
        </w:rPr>
        <w:t xml:space="preserve">, and 334.2519</w:t>
      </w:r>
      <w:r>
        <w:t xml:space="preserve">, this subchapter does not apply to the financing of a venue project that is:</w:t>
      </w:r>
    </w:p>
    <w:p w:rsidR="003F3435" w:rsidRDefault="0032493E">
      <w:pPr>
        <w:spacing w:line="480" w:lineRule="auto"/>
        <w:ind w:firstLine="1440"/>
        <w:jc w:val="both"/>
      </w:pPr>
      <w:r>
        <w:t xml:space="preserve">(1)</w:t>
      </w:r>
      <w:r xml:space="preserve">
        <w:t> </w:t>
      </w:r>
      <w:r xml:space="preserve">
        <w:t> </w:t>
      </w:r>
      <w:r>
        <w:t xml:space="preserve">an area described by Section 334.001(4)(C);</w:t>
      </w:r>
    </w:p>
    <w:p w:rsidR="003F3435" w:rsidRDefault="0032493E">
      <w:pPr>
        <w:spacing w:line="480" w:lineRule="auto"/>
        <w:ind w:firstLine="1440"/>
        <w:jc w:val="both"/>
      </w:pPr>
      <w:r>
        <w:t xml:space="preserve">(2)</w:t>
      </w:r>
      <w:r xml:space="preserve">
        <w:t> </w:t>
      </w:r>
      <w:r xml:space="preserve">
        <w:t> </w:t>
      </w:r>
      <w:r>
        <w:t xml:space="preserve">an area or facility that is part of a municipal parks and recreation system as described by Section 334.001(4)(D);</w:t>
      </w:r>
    </w:p>
    <w:p w:rsidR="003F3435" w:rsidRDefault="0032493E">
      <w:pPr>
        <w:spacing w:line="480" w:lineRule="auto"/>
        <w:ind w:firstLine="1440"/>
        <w:jc w:val="both"/>
      </w:pPr>
      <w:r>
        <w:t xml:space="preserve">(3)</w:t>
      </w:r>
      <w:r xml:space="preserve">
        <w:t> </w:t>
      </w:r>
      <w:r xml:space="preserve">
        <w:t> </w:t>
      </w:r>
      <w:r>
        <w:t xml:space="preserve">a project described by Section 334.001(4)(E), except for a project described by Section 334.001(4)(A); or</w:t>
      </w:r>
    </w:p>
    <w:p w:rsidR="003F3435" w:rsidRDefault="0032493E">
      <w:pPr>
        <w:spacing w:line="480" w:lineRule="auto"/>
        <w:ind w:firstLine="1440"/>
        <w:jc w:val="both"/>
      </w:pPr>
      <w:r>
        <w:t xml:space="preserve">(4)</w:t>
      </w:r>
      <w:r xml:space="preserve">
        <w:t> </w:t>
      </w:r>
      <w:r xml:space="preserve">
        <w:t> </w:t>
      </w:r>
      <w:r>
        <w:t xml:space="preserve">a facility described by Section 334.001(4)(G).</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H, Chapter 334, Local Government Code, is amended by adding Section 334.2519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334.2519.</w:t>
      </w:r>
      <w:r>
        <w:rPr>
          <w:u w:val="single"/>
        </w:rPr>
        <w:t xml:space="preserve"> </w:t>
      </w:r>
      <w:r>
        <w:rPr>
          <w:u w:val="single"/>
        </w:rPr>
        <w:t xml:space="preserve"> </w:t>
      </w:r>
      <w:r>
        <w:rPr>
          <w:u w:val="single"/>
        </w:rPr>
        <w:t xml:space="preserve">USE OF REVENUE FOR CERTAIN VENUE PROJECTS.  (a)  This section applies only to a venue project that is an exposition center and is located in a municipality: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with a population of 750,000 or more;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that is primarily located in a county with a population of 1.5 million or less.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county may use revenue under this subchapter to acquire, construct, improve, and equip a venue project to which this section applies and related infrastructure to be constructed on real property described by Section 334.2515(2). In addition, the county may pledge the revenue to the payment of bonds or other obligations the county issues to finance the venue project infrastructure.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334.257, Local Government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subsection applies only to a municipality with a population of 750,000 or more that is primarily located in a county with a population of 1.5 million or less. Notwithstanding Subsection (b), a municipality to which this section applies may impose a tax under this subchapter only until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on which all bonds and other obligations issued under Section 334.043 have been paid in full;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date on which the municipality has collected the amount of money attributable to the tax imposed under this subchapter that is sufficient to pay in full the bonds and other obligations; or</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date on which the total amount of money, exclusive of guaranteed interest, necessary to pay in full the bonds and other obligations has been set aside by the municipality in a trust account dedicated to the payment of the bonds and other obligations.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4090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