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364584" w14:paraId="4F38C569" w14:textId="77777777" w:rsidTr="00345119">
        <w:tc>
          <w:tcPr>
            <w:tcW w:w="9576" w:type="dxa"/>
            <w:noWrap/>
          </w:tcPr>
          <w:p w14:paraId="216588AB" w14:textId="77777777" w:rsidR="008423E4" w:rsidRPr="0022177D" w:rsidRDefault="002914F0" w:rsidP="00E337B9">
            <w:pPr>
              <w:pStyle w:val="Heading1"/>
            </w:pPr>
            <w:r w:rsidRPr="00631897">
              <w:t>BILL ANALYSIS</w:t>
            </w:r>
          </w:p>
        </w:tc>
      </w:tr>
    </w:tbl>
    <w:p w14:paraId="4FFA3D50" w14:textId="77777777" w:rsidR="008423E4" w:rsidRPr="0022177D" w:rsidRDefault="008423E4" w:rsidP="00E337B9">
      <w:pPr>
        <w:jc w:val="center"/>
      </w:pPr>
    </w:p>
    <w:p w14:paraId="4E0EFCAE" w14:textId="77777777" w:rsidR="008423E4" w:rsidRPr="00B31F0E" w:rsidRDefault="008423E4" w:rsidP="00E337B9"/>
    <w:p w14:paraId="30007827" w14:textId="77777777" w:rsidR="008423E4" w:rsidRPr="00742794" w:rsidRDefault="008423E4" w:rsidP="00E337B9">
      <w:pPr>
        <w:tabs>
          <w:tab w:val="right" w:pos="9360"/>
        </w:tabs>
      </w:pPr>
    </w:p>
    <w:tbl>
      <w:tblPr>
        <w:tblW w:w="0" w:type="auto"/>
        <w:tblLayout w:type="fixed"/>
        <w:tblLook w:val="01E0" w:firstRow="1" w:lastRow="1" w:firstColumn="1" w:lastColumn="1" w:noHBand="0" w:noVBand="0"/>
      </w:tblPr>
      <w:tblGrid>
        <w:gridCol w:w="9576"/>
      </w:tblGrid>
      <w:tr w:rsidR="00364584" w14:paraId="45F83A65" w14:textId="77777777" w:rsidTr="00345119">
        <w:tc>
          <w:tcPr>
            <w:tcW w:w="9576" w:type="dxa"/>
          </w:tcPr>
          <w:p w14:paraId="1D0E3AF3" w14:textId="7E4D4DD4" w:rsidR="008423E4" w:rsidRPr="00861995" w:rsidRDefault="002914F0" w:rsidP="00E337B9">
            <w:pPr>
              <w:jc w:val="right"/>
            </w:pPr>
            <w:r>
              <w:t>C.S.H.B. 4035</w:t>
            </w:r>
          </w:p>
        </w:tc>
      </w:tr>
      <w:tr w:rsidR="00364584" w14:paraId="120144E3" w14:textId="77777777" w:rsidTr="00345119">
        <w:tc>
          <w:tcPr>
            <w:tcW w:w="9576" w:type="dxa"/>
          </w:tcPr>
          <w:p w14:paraId="5EE4FE6B" w14:textId="6353A520" w:rsidR="008423E4" w:rsidRPr="00861995" w:rsidRDefault="002914F0" w:rsidP="00E337B9">
            <w:pPr>
              <w:jc w:val="right"/>
            </w:pPr>
            <w:r>
              <w:t xml:space="preserve">By: </w:t>
            </w:r>
            <w:r w:rsidR="005E17DA">
              <w:t>Dutton</w:t>
            </w:r>
          </w:p>
        </w:tc>
      </w:tr>
      <w:tr w:rsidR="00364584" w14:paraId="390168AA" w14:textId="77777777" w:rsidTr="00345119">
        <w:tc>
          <w:tcPr>
            <w:tcW w:w="9576" w:type="dxa"/>
          </w:tcPr>
          <w:p w14:paraId="55BC6F29" w14:textId="0386AACA" w:rsidR="008423E4" w:rsidRPr="00861995" w:rsidRDefault="002914F0" w:rsidP="00E337B9">
            <w:pPr>
              <w:jc w:val="right"/>
            </w:pPr>
            <w:r>
              <w:t>Judiciary &amp; Civil Jurisprudence</w:t>
            </w:r>
          </w:p>
        </w:tc>
      </w:tr>
      <w:tr w:rsidR="00364584" w14:paraId="08A41808" w14:textId="77777777" w:rsidTr="00345119">
        <w:tc>
          <w:tcPr>
            <w:tcW w:w="9576" w:type="dxa"/>
          </w:tcPr>
          <w:p w14:paraId="06190366" w14:textId="5B83AFC6" w:rsidR="008423E4" w:rsidRDefault="002914F0" w:rsidP="00E337B9">
            <w:pPr>
              <w:jc w:val="right"/>
            </w:pPr>
            <w:r>
              <w:t>Committee Report (Substituted)</w:t>
            </w:r>
          </w:p>
        </w:tc>
      </w:tr>
    </w:tbl>
    <w:p w14:paraId="1A3A9252" w14:textId="77777777" w:rsidR="008423E4" w:rsidRDefault="008423E4" w:rsidP="00E337B9">
      <w:pPr>
        <w:tabs>
          <w:tab w:val="right" w:pos="9360"/>
        </w:tabs>
      </w:pPr>
    </w:p>
    <w:p w14:paraId="540C1C18" w14:textId="77777777" w:rsidR="008423E4" w:rsidRDefault="008423E4" w:rsidP="00E337B9"/>
    <w:p w14:paraId="6F9EA96B" w14:textId="77777777" w:rsidR="008423E4" w:rsidRDefault="008423E4" w:rsidP="00E337B9"/>
    <w:tbl>
      <w:tblPr>
        <w:tblW w:w="0" w:type="auto"/>
        <w:tblCellMar>
          <w:left w:w="115" w:type="dxa"/>
          <w:right w:w="115" w:type="dxa"/>
        </w:tblCellMar>
        <w:tblLook w:val="01E0" w:firstRow="1" w:lastRow="1" w:firstColumn="1" w:lastColumn="1" w:noHBand="0" w:noVBand="0"/>
      </w:tblPr>
      <w:tblGrid>
        <w:gridCol w:w="9360"/>
      </w:tblGrid>
      <w:tr w:rsidR="00364584" w14:paraId="490FF907" w14:textId="77777777" w:rsidTr="00345119">
        <w:tc>
          <w:tcPr>
            <w:tcW w:w="9576" w:type="dxa"/>
          </w:tcPr>
          <w:p w14:paraId="34D672DF" w14:textId="77777777" w:rsidR="008423E4" w:rsidRPr="00A8133F" w:rsidRDefault="002914F0" w:rsidP="00E337B9">
            <w:pPr>
              <w:rPr>
                <w:b/>
              </w:rPr>
            </w:pPr>
            <w:r w:rsidRPr="009C1E9A">
              <w:rPr>
                <w:b/>
                <w:u w:val="single"/>
              </w:rPr>
              <w:t>BACKGROUND AND PURPOSE</w:t>
            </w:r>
            <w:r>
              <w:rPr>
                <w:b/>
              </w:rPr>
              <w:t xml:space="preserve"> </w:t>
            </w:r>
          </w:p>
          <w:p w14:paraId="22019860" w14:textId="77777777" w:rsidR="008423E4" w:rsidRDefault="008423E4" w:rsidP="00E337B9"/>
          <w:p w14:paraId="323F59AB" w14:textId="47986E1A" w:rsidR="008423E4" w:rsidRDefault="002914F0" w:rsidP="00E337B9">
            <w:pPr>
              <w:pStyle w:val="Header"/>
              <w:tabs>
                <w:tab w:val="clear" w:pos="4320"/>
                <w:tab w:val="clear" w:pos="8640"/>
              </w:tabs>
              <w:jc w:val="both"/>
            </w:pPr>
            <w:r>
              <w:t>The bill author has informed the committee that c</w:t>
            </w:r>
            <w:r w:rsidR="007668D1" w:rsidRPr="00111360">
              <w:t>ourts, clerks, and litigants have expressed</w:t>
            </w:r>
            <w:r w:rsidR="007F102A">
              <w:t xml:space="preserve"> concerns relating to</w:t>
            </w:r>
            <w:r w:rsidR="007668D1" w:rsidRPr="00111360">
              <w:t xml:space="preserve"> procedural challenges that arise when nondisclosure of all contact information is granted</w:t>
            </w:r>
            <w:r>
              <w:t xml:space="preserve"> in a suit affecting the </w:t>
            </w:r>
            <w:r w:rsidR="00041525">
              <w:t>parent-</w:t>
            </w:r>
            <w:r>
              <w:t xml:space="preserve">child relationship, specifically in regards to the possible inability </w:t>
            </w:r>
            <w:r w:rsidR="007F102A">
              <w:t>to</w:t>
            </w:r>
            <w:r w:rsidR="007668D1" w:rsidRPr="00111360">
              <w:t xml:space="preserve"> provide required notice</w:t>
            </w:r>
            <w:r w:rsidR="007668D1">
              <w:t xml:space="preserve"> or </w:t>
            </w:r>
            <w:r w:rsidR="007668D1" w:rsidRPr="00111360">
              <w:t xml:space="preserve">service of legal documents. </w:t>
            </w:r>
            <w:r w:rsidR="006C47E3">
              <w:t>C.S.</w:t>
            </w:r>
            <w:r w:rsidR="007668D1">
              <w:t>H.B. 4035</w:t>
            </w:r>
            <w:r w:rsidR="007668D1" w:rsidRPr="00111360">
              <w:t xml:space="preserve"> </w:t>
            </w:r>
            <w:r w:rsidR="009F617A">
              <w:t xml:space="preserve">seeks to </w:t>
            </w:r>
            <w:r w:rsidR="007668D1" w:rsidRPr="00111360">
              <w:t>balance the safety of parties needing nondisclosure protections with due process considerations</w:t>
            </w:r>
            <w:r w:rsidR="009F617A">
              <w:t xml:space="preserve"> by authorizing documents to be delivered by email in applicable cases</w:t>
            </w:r>
            <w:r w:rsidR="007F102A">
              <w:t>, as well as</w:t>
            </w:r>
            <w:r w:rsidR="009F617A">
              <w:t xml:space="preserve"> updating judgment and fee processes</w:t>
            </w:r>
            <w:r w:rsidR="007668D1" w:rsidRPr="00111360">
              <w:t xml:space="preserve">. </w:t>
            </w:r>
          </w:p>
          <w:p w14:paraId="435FB0D7" w14:textId="77777777" w:rsidR="008423E4" w:rsidRPr="00E26B13" w:rsidRDefault="008423E4" w:rsidP="00E337B9">
            <w:pPr>
              <w:rPr>
                <w:b/>
              </w:rPr>
            </w:pPr>
          </w:p>
        </w:tc>
      </w:tr>
      <w:tr w:rsidR="00364584" w14:paraId="5F91400C" w14:textId="77777777" w:rsidTr="00345119">
        <w:tc>
          <w:tcPr>
            <w:tcW w:w="9576" w:type="dxa"/>
          </w:tcPr>
          <w:p w14:paraId="04D161FB" w14:textId="77777777" w:rsidR="0017725B" w:rsidRDefault="002914F0" w:rsidP="00E337B9">
            <w:pPr>
              <w:rPr>
                <w:b/>
                <w:u w:val="single"/>
              </w:rPr>
            </w:pPr>
            <w:r>
              <w:rPr>
                <w:b/>
                <w:u w:val="single"/>
              </w:rPr>
              <w:t>CRIMINAL JUSTICE IMPACT</w:t>
            </w:r>
          </w:p>
          <w:p w14:paraId="6FA884E4" w14:textId="77777777" w:rsidR="0017725B" w:rsidRDefault="0017725B" w:rsidP="00E337B9">
            <w:pPr>
              <w:rPr>
                <w:b/>
                <w:u w:val="single"/>
              </w:rPr>
            </w:pPr>
          </w:p>
          <w:p w14:paraId="58030AFF" w14:textId="07C9AB23" w:rsidR="00083C45" w:rsidRPr="00083C45" w:rsidRDefault="002914F0" w:rsidP="00E337B9">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09AA2670" w14:textId="77777777" w:rsidR="0017725B" w:rsidRPr="0017725B" w:rsidRDefault="0017725B" w:rsidP="00E337B9">
            <w:pPr>
              <w:rPr>
                <w:b/>
                <w:u w:val="single"/>
              </w:rPr>
            </w:pPr>
          </w:p>
        </w:tc>
      </w:tr>
      <w:tr w:rsidR="00364584" w14:paraId="6DF32D84" w14:textId="77777777" w:rsidTr="00345119">
        <w:tc>
          <w:tcPr>
            <w:tcW w:w="9576" w:type="dxa"/>
          </w:tcPr>
          <w:p w14:paraId="6252F063" w14:textId="77777777" w:rsidR="008423E4" w:rsidRPr="00A8133F" w:rsidRDefault="002914F0" w:rsidP="00E337B9">
            <w:pPr>
              <w:rPr>
                <w:b/>
              </w:rPr>
            </w:pPr>
            <w:r w:rsidRPr="009C1E9A">
              <w:rPr>
                <w:b/>
                <w:u w:val="single"/>
              </w:rPr>
              <w:t>RULEMAKING AUTHORITY</w:t>
            </w:r>
            <w:r>
              <w:rPr>
                <w:b/>
              </w:rPr>
              <w:t xml:space="preserve"> </w:t>
            </w:r>
          </w:p>
          <w:p w14:paraId="22DCF29D" w14:textId="77777777" w:rsidR="008423E4" w:rsidRDefault="008423E4" w:rsidP="00E337B9"/>
          <w:p w14:paraId="70221FB6" w14:textId="6827844C" w:rsidR="00083C45" w:rsidRDefault="002914F0" w:rsidP="00E337B9">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66372E2C" w14:textId="77777777" w:rsidR="008423E4" w:rsidRPr="00E21FDC" w:rsidRDefault="008423E4" w:rsidP="00E337B9">
            <w:pPr>
              <w:rPr>
                <w:b/>
              </w:rPr>
            </w:pPr>
          </w:p>
        </w:tc>
      </w:tr>
      <w:tr w:rsidR="00364584" w14:paraId="621544A3" w14:textId="77777777" w:rsidTr="00345119">
        <w:tc>
          <w:tcPr>
            <w:tcW w:w="9576" w:type="dxa"/>
          </w:tcPr>
          <w:p w14:paraId="2526117F" w14:textId="77777777" w:rsidR="008423E4" w:rsidRPr="00A8133F" w:rsidRDefault="002914F0" w:rsidP="00E337B9">
            <w:pPr>
              <w:rPr>
                <w:b/>
              </w:rPr>
            </w:pPr>
            <w:r w:rsidRPr="009C1E9A">
              <w:rPr>
                <w:b/>
                <w:u w:val="single"/>
              </w:rPr>
              <w:t>ANALYSIS</w:t>
            </w:r>
            <w:r>
              <w:rPr>
                <w:b/>
              </w:rPr>
              <w:t xml:space="preserve"> </w:t>
            </w:r>
          </w:p>
          <w:p w14:paraId="407A0862" w14:textId="77777777" w:rsidR="008423E4" w:rsidRDefault="008423E4" w:rsidP="00E337B9"/>
          <w:p w14:paraId="2EEAF78B" w14:textId="6D7CA752" w:rsidR="00602990" w:rsidRDefault="002914F0" w:rsidP="00E337B9">
            <w:pPr>
              <w:pStyle w:val="Header"/>
              <w:jc w:val="both"/>
            </w:pPr>
            <w:r>
              <w:t>C.S.</w:t>
            </w:r>
            <w:r w:rsidRPr="003248F8">
              <w:t>H.B</w:t>
            </w:r>
            <w:r w:rsidRPr="003248F8">
              <w:t xml:space="preserve">. 4035 </w:t>
            </w:r>
            <w:r>
              <w:t>amends the Family Code to require a court in a suit affecting the parent</w:t>
            </w:r>
            <w:r w:rsidR="00E11384">
              <w:t>-child</w:t>
            </w:r>
            <w:r w:rsidR="0078103B">
              <w:t xml:space="preserve"> relationship</w:t>
            </w:r>
            <w:r w:rsidR="00E11384">
              <w:t xml:space="preserve"> that</w:t>
            </w:r>
            <w:r w:rsidRPr="00602990">
              <w:t xml:space="preserve"> renders an order prohibiting the disclosure of a party's information</w:t>
            </w:r>
            <w:r w:rsidR="0087109D">
              <w:t xml:space="preserve"> on finding that such disclosure would likely cause the child or a conservator harassment, abuse, serious harm, or injury, or subject the child or a conservator to family violence</w:t>
            </w:r>
            <w:r>
              <w:t>, to require that the party provide to the court, for inclusion in the final order, an email address at which the party may receive</w:t>
            </w:r>
            <w:r w:rsidR="00E55DED">
              <w:t xml:space="preserve"> the following</w:t>
            </w:r>
            <w:r>
              <w:t>:</w:t>
            </w:r>
          </w:p>
          <w:p w14:paraId="0AC22ACB" w14:textId="5B290AA2" w:rsidR="00602990" w:rsidRDefault="002914F0" w:rsidP="00E337B9">
            <w:pPr>
              <w:pStyle w:val="Header"/>
              <w:numPr>
                <w:ilvl w:val="0"/>
                <w:numId w:val="1"/>
              </w:numPr>
              <w:jc w:val="both"/>
            </w:pPr>
            <w:r>
              <w:t>notice and service of process of subsequent motions, petitions, or other legal pleadings using the</w:t>
            </w:r>
            <w:r w:rsidR="00E55DED">
              <w:t xml:space="preserve"> state court</w:t>
            </w:r>
            <w:r>
              <w:t xml:space="preserve"> electronic filing system; and</w:t>
            </w:r>
          </w:p>
          <w:p w14:paraId="24A069E0" w14:textId="47201ED5" w:rsidR="009C36CD" w:rsidRDefault="002914F0" w:rsidP="00E337B9">
            <w:pPr>
              <w:pStyle w:val="Header"/>
              <w:numPr>
                <w:ilvl w:val="0"/>
                <w:numId w:val="1"/>
              </w:numPr>
              <w:tabs>
                <w:tab w:val="clear" w:pos="4320"/>
                <w:tab w:val="clear" w:pos="8640"/>
              </w:tabs>
              <w:jc w:val="both"/>
            </w:pPr>
            <w:r>
              <w:t>other legal documents or required notices.</w:t>
            </w:r>
          </w:p>
          <w:p w14:paraId="049F42A0" w14:textId="2AE9BEC5" w:rsidR="003248F8" w:rsidRDefault="002914F0" w:rsidP="00E337B9">
            <w:pPr>
              <w:pStyle w:val="Header"/>
              <w:tabs>
                <w:tab w:val="clear" w:pos="4320"/>
                <w:tab w:val="clear" w:pos="8640"/>
              </w:tabs>
              <w:jc w:val="both"/>
            </w:pPr>
            <w:r>
              <w:t xml:space="preserve">The bill prohibits a court, if </w:t>
            </w:r>
            <w:r w:rsidR="00A06420">
              <w:t>the</w:t>
            </w:r>
            <w:r>
              <w:t xml:space="preserve"> court </w:t>
            </w:r>
            <w:r w:rsidRPr="003248F8">
              <w:t>finds that requiring a party to provide an email address</w:t>
            </w:r>
            <w:r>
              <w:t xml:space="preserve"> i</w:t>
            </w:r>
            <w:r w:rsidRPr="003248F8">
              <w:t>s likely to endanger the safety of the party,</w:t>
            </w:r>
            <w:r>
              <w:t xml:space="preserve"> from </w:t>
            </w:r>
            <w:r w:rsidRPr="003248F8">
              <w:t>requir</w:t>
            </w:r>
            <w:r>
              <w:t>ing</w:t>
            </w:r>
            <w:r w:rsidRPr="003248F8">
              <w:t xml:space="preserve"> the party to provide </w:t>
            </w:r>
            <w:r w:rsidR="00A06420">
              <w:t>an</w:t>
            </w:r>
            <w:r w:rsidRPr="003248F8">
              <w:t xml:space="preserve"> email address</w:t>
            </w:r>
            <w:r w:rsidR="00A06420">
              <w:t xml:space="preserve"> under the bill's provisions</w:t>
            </w:r>
            <w:r>
              <w:t>.</w:t>
            </w:r>
          </w:p>
          <w:p w14:paraId="0089D3EC" w14:textId="77777777" w:rsidR="003248F8" w:rsidRDefault="003248F8" w:rsidP="00E337B9">
            <w:pPr>
              <w:pStyle w:val="Header"/>
              <w:tabs>
                <w:tab w:val="clear" w:pos="4320"/>
                <w:tab w:val="clear" w:pos="8640"/>
              </w:tabs>
              <w:jc w:val="both"/>
            </w:pPr>
          </w:p>
          <w:p w14:paraId="076DA896" w14:textId="6448669A" w:rsidR="00BC679D" w:rsidRDefault="002914F0" w:rsidP="00E337B9">
            <w:pPr>
              <w:pStyle w:val="Header"/>
              <w:tabs>
                <w:tab w:val="clear" w:pos="4320"/>
                <w:tab w:val="clear" w:pos="8640"/>
              </w:tabs>
              <w:jc w:val="both"/>
            </w:pPr>
            <w:r w:rsidRPr="003248F8">
              <w:t xml:space="preserve">C.S.H.B. 4035 </w:t>
            </w:r>
            <w:r w:rsidR="00E6780A">
              <w:t xml:space="preserve">makes the </w:t>
            </w:r>
            <w:r w:rsidR="00812985">
              <w:t>authoriz</w:t>
            </w:r>
            <w:r w:rsidR="00E6780A">
              <w:t>ation for</w:t>
            </w:r>
            <w:r w:rsidR="00812985">
              <w:t xml:space="preserve"> a court, </w:t>
            </w:r>
            <w:r w:rsidR="00B90146">
              <w:t>i</w:t>
            </w:r>
            <w:r w:rsidR="00812985">
              <w:t xml:space="preserve">n </w:t>
            </w:r>
            <w:r w:rsidR="00E6780A">
              <w:t>any subsequent child support enforcement action</w:t>
            </w:r>
            <w:r w:rsidR="00C95571">
              <w:t xml:space="preserve"> </w:t>
            </w:r>
            <w:r w:rsidR="00B90146">
              <w:t>except for one in which contempt is sought</w:t>
            </w:r>
            <w:r w:rsidR="00812985">
              <w:t xml:space="preserve"> and on a showing that diligent effort has been made to determine </w:t>
            </w:r>
            <w:r w:rsidR="00E6780A">
              <w:t>a party's</w:t>
            </w:r>
            <w:r w:rsidR="00812985">
              <w:t xml:space="preserve"> location, </w:t>
            </w:r>
            <w:r w:rsidR="0078103B">
              <w:t xml:space="preserve">to </w:t>
            </w:r>
            <w:r w:rsidR="00812985">
              <w:t>consider due process requirements for notice and service of process to be met with respect to that party on delivery of written notice to the most recent residence address, email address, or address of employment filed by the party with the court and the state case registry</w:t>
            </w:r>
            <w:r w:rsidR="00D224DA">
              <w:t xml:space="preserve"> applicable also with respect to any subsequent child support modification</w:t>
            </w:r>
            <w:r w:rsidR="00812985">
              <w:t xml:space="preserve">. </w:t>
            </w:r>
            <w:r w:rsidR="00D20680">
              <w:t xml:space="preserve">The bill authorizes </w:t>
            </w:r>
            <w:r w:rsidR="00152795">
              <w:t>a</w:t>
            </w:r>
            <w:r w:rsidR="00D20680">
              <w:t xml:space="preserve"> clerk to send orders, notices, and other documents relating to a final order to which provisions relating to the contents of such orders apply to the email address provided by a party </w:t>
            </w:r>
            <w:r w:rsidR="00D224DA">
              <w:t xml:space="preserve">under those provisions </w:t>
            </w:r>
            <w:r w:rsidR="00D20680">
              <w:t xml:space="preserve">using the state court electronic filing system. </w:t>
            </w:r>
          </w:p>
          <w:p w14:paraId="36EAE17F" w14:textId="77777777" w:rsidR="009A6701" w:rsidRDefault="009A6701" w:rsidP="00E337B9">
            <w:pPr>
              <w:pStyle w:val="Header"/>
              <w:tabs>
                <w:tab w:val="clear" w:pos="4320"/>
                <w:tab w:val="clear" w:pos="8640"/>
              </w:tabs>
              <w:jc w:val="both"/>
            </w:pPr>
          </w:p>
          <w:p w14:paraId="17138A3A" w14:textId="48951662" w:rsidR="009A6701" w:rsidRDefault="002914F0" w:rsidP="00E337B9">
            <w:pPr>
              <w:pStyle w:val="Header"/>
              <w:tabs>
                <w:tab w:val="clear" w:pos="4320"/>
                <w:tab w:val="clear" w:pos="8640"/>
              </w:tabs>
              <w:jc w:val="both"/>
            </w:pPr>
            <w:r w:rsidRPr="003248F8">
              <w:t xml:space="preserve">C.S.H.B. 4035 </w:t>
            </w:r>
            <w:r w:rsidR="006C3393">
              <w:t>requires a court</w:t>
            </w:r>
            <w:r w:rsidR="000B3E96">
              <w:t>, i</w:t>
            </w:r>
            <w:r w:rsidR="000B3E96" w:rsidRPr="000B3E96">
              <w:t xml:space="preserve">n rendering a judgment for attorney's fees or expenses </w:t>
            </w:r>
            <w:r w:rsidR="000B3E96">
              <w:t>in a suit affecting the parent-child relationship</w:t>
            </w:r>
            <w:r w:rsidR="00CB099F">
              <w:t xml:space="preserve"> or </w:t>
            </w:r>
            <w:r w:rsidR="00D224DA">
              <w:t>in rend</w:t>
            </w:r>
            <w:r w:rsidR="00F53593">
              <w:t>er</w:t>
            </w:r>
            <w:r w:rsidR="00D224DA">
              <w:t>ing a judgment for attorney's fees and court costs when</w:t>
            </w:r>
            <w:r w:rsidR="00CB099F" w:rsidRPr="00CB099F">
              <w:t xml:space="preserve"> the court finds that </w:t>
            </w:r>
            <w:r w:rsidR="006C3393">
              <w:t>a</w:t>
            </w:r>
            <w:r w:rsidR="00CB099F" w:rsidRPr="00CB099F">
              <w:t xml:space="preserve"> respondent has failed to make child support payments</w:t>
            </w:r>
            <w:r w:rsidR="000B3E96" w:rsidRPr="000B3E96">
              <w:t xml:space="preserve">, </w:t>
            </w:r>
            <w:r w:rsidR="006C3393">
              <w:t>to</w:t>
            </w:r>
            <w:r w:rsidR="000B3E96" w:rsidRPr="000B3E96">
              <w:t xml:space="preserve"> render the judgment separate from any judgment confirming the amount of arrearages under</w:t>
            </w:r>
            <w:r w:rsidR="00A37019">
              <w:t xml:space="preserve"> statutory</w:t>
            </w:r>
            <w:r w:rsidR="000B3AD6">
              <w:t xml:space="preserve"> provisions relating to </w:t>
            </w:r>
            <w:r w:rsidR="00E96831">
              <w:t>the confirmation of arrearages</w:t>
            </w:r>
            <w:r w:rsidR="000B3E96" w:rsidRPr="000B3E96">
              <w:t>.</w:t>
            </w:r>
          </w:p>
          <w:p w14:paraId="4F6F77CB" w14:textId="77777777" w:rsidR="00BC679D" w:rsidRDefault="00BC679D" w:rsidP="00E337B9">
            <w:pPr>
              <w:pStyle w:val="Header"/>
              <w:tabs>
                <w:tab w:val="clear" w:pos="4320"/>
                <w:tab w:val="clear" w:pos="8640"/>
              </w:tabs>
              <w:jc w:val="both"/>
            </w:pPr>
          </w:p>
          <w:p w14:paraId="1C842D1F" w14:textId="1A8891C9" w:rsidR="00083C45" w:rsidRPr="009C36CD" w:rsidRDefault="002914F0" w:rsidP="00E337B9">
            <w:pPr>
              <w:pStyle w:val="Header"/>
              <w:tabs>
                <w:tab w:val="clear" w:pos="4320"/>
                <w:tab w:val="clear" w:pos="8640"/>
              </w:tabs>
              <w:jc w:val="both"/>
            </w:pPr>
            <w:r w:rsidRPr="003248F8">
              <w:t xml:space="preserve">C.S.H.B. 4035 </w:t>
            </w:r>
            <w:r>
              <w:t xml:space="preserve">applies </w:t>
            </w:r>
            <w:r w:rsidRPr="00083C45">
              <w:t xml:space="preserve">to a suit affecting the parent-child relationship that is pending in a trial court on the </w:t>
            </w:r>
            <w:r>
              <w:t xml:space="preserve">bill's </w:t>
            </w:r>
            <w:r w:rsidRPr="00083C45">
              <w:t>effective date or that is filed on or after th</w:t>
            </w:r>
            <w:r>
              <w:t>at date</w:t>
            </w:r>
            <w:r w:rsidRPr="00083C45">
              <w:t>.</w:t>
            </w:r>
          </w:p>
          <w:p w14:paraId="390A7AC9" w14:textId="77777777" w:rsidR="008423E4" w:rsidRPr="00835628" w:rsidRDefault="008423E4" w:rsidP="00E337B9">
            <w:pPr>
              <w:rPr>
                <w:b/>
              </w:rPr>
            </w:pPr>
          </w:p>
        </w:tc>
      </w:tr>
      <w:tr w:rsidR="00364584" w14:paraId="126F0151" w14:textId="77777777" w:rsidTr="00345119">
        <w:tc>
          <w:tcPr>
            <w:tcW w:w="9576" w:type="dxa"/>
          </w:tcPr>
          <w:p w14:paraId="64F71653" w14:textId="77777777" w:rsidR="008423E4" w:rsidRPr="00A8133F" w:rsidRDefault="002914F0" w:rsidP="00E337B9">
            <w:pPr>
              <w:rPr>
                <w:b/>
              </w:rPr>
            </w:pPr>
            <w:r w:rsidRPr="009C1E9A">
              <w:rPr>
                <w:b/>
                <w:u w:val="single"/>
              </w:rPr>
              <w:t>EFFECTIVE DATE</w:t>
            </w:r>
            <w:r>
              <w:rPr>
                <w:b/>
              </w:rPr>
              <w:t xml:space="preserve"> </w:t>
            </w:r>
          </w:p>
          <w:p w14:paraId="76206AAE" w14:textId="77777777" w:rsidR="008423E4" w:rsidRDefault="008423E4" w:rsidP="00E337B9"/>
          <w:p w14:paraId="54A99111" w14:textId="39B2B414" w:rsidR="008423E4" w:rsidRPr="003624F2" w:rsidRDefault="002914F0" w:rsidP="00E337B9">
            <w:pPr>
              <w:pStyle w:val="Header"/>
              <w:tabs>
                <w:tab w:val="clear" w:pos="4320"/>
                <w:tab w:val="clear" w:pos="8640"/>
              </w:tabs>
              <w:jc w:val="both"/>
            </w:pPr>
            <w:r>
              <w:t>September 1, 2025.</w:t>
            </w:r>
          </w:p>
          <w:p w14:paraId="082F1CC2" w14:textId="77777777" w:rsidR="008423E4" w:rsidRPr="00233FDB" w:rsidRDefault="008423E4" w:rsidP="00E337B9">
            <w:pPr>
              <w:rPr>
                <w:b/>
              </w:rPr>
            </w:pPr>
          </w:p>
        </w:tc>
      </w:tr>
      <w:tr w:rsidR="00364584" w14:paraId="0357EFD3" w14:textId="77777777" w:rsidTr="00345119">
        <w:tc>
          <w:tcPr>
            <w:tcW w:w="9576" w:type="dxa"/>
          </w:tcPr>
          <w:p w14:paraId="3DD28469" w14:textId="77777777" w:rsidR="005E17DA" w:rsidRDefault="002914F0" w:rsidP="00E337B9">
            <w:pPr>
              <w:jc w:val="both"/>
              <w:rPr>
                <w:b/>
                <w:u w:val="single"/>
              </w:rPr>
            </w:pPr>
            <w:r>
              <w:rPr>
                <w:b/>
                <w:u w:val="single"/>
              </w:rPr>
              <w:t>COMPARISON OF INTRODUCED AND SUBSTITUTE</w:t>
            </w:r>
          </w:p>
          <w:p w14:paraId="65426536" w14:textId="77777777" w:rsidR="003248F8" w:rsidRDefault="003248F8" w:rsidP="00E337B9">
            <w:pPr>
              <w:jc w:val="both"/>
            </w:pPr>
          </w:p>
          <w:p w14:paraId="6FA2239F" w14:textId="2F380292" w:rsidR="003248F8" w:rsidRDefault="002914F0" w:rsidP="00E337B9">
            <w:pPr>
              <w:jc w:val="both"/>
            </w:pPr>
            <w:r>
              <w:t>While C.S.H.B</w:t>
            </w:r>
            <w:r>
              <w:t xml:space="preserve">. 4035 may differ from the introduced in minor or nonsubstantive ways, the following summarizes the substantial differences between the introduced and committee substitute versions of the bill. </w:t>
            </w:r>
          </w:p>
          <w:p w14:paraId="07BF1A38" w14:textId="77777777" w:rsidR="003248F8" w:rsidRDefault="003248F8" w:rsidP="00E337B9">
            <w:pPr>
              <w:jc w:val="both"/>
            </w:pPr>
          </w:p>
          <w:p w14:paraId="71B9E375" w14:textId="39EE64CA" w:rsidR="003248F8" w:rsidRPr="003248F8" w:rsidRDefault="002914F0" w:rsidP="00E337B9">
            <w:pPr>
              <w:jc w:val="both"/>
            </w:pPr>
            <w:r>
              <w:t xml:space="preserve">The substitute includes a provision absent from the introduced prohibiting </w:t>
            </w:r>
            <w:r w:rsidRPr="003248F8">
              <w:t xml:space="preserve">a court, if </w:t>
            </w:r>
            <w:r w:rsidR="00A06420">
              <w:t>the</w:t>
            </w:r>
            <w:r w:rsidRPr="003248F8">
              <w:t xml:space="preserve"> court finds that requiring a party to provide an email address is likely to endanger the safety of the party, from requiring the party to provide the email address</w:t>
            </w:r>
            <w:r w:rsidR="007668D1">
              <w:t xml:space="preserve"> under the substitute's provisions</w:t>
            </w:r>
            <w:r w:rsidRPr="003248F8">
              <w:t>.</w:t>
            </w:r>
          </w:p>
        </w:tc>
      </w:tr>
      <w:tr w:rsidR="00364584" w14:paraId="17EDA10B" w14:textId="77777777" w:rsidTr="00345119">
        <w:tc>
          <w:tcPr>
            <w:tcW w:w="9576" w:type="dxa"/>
          </w:tcPr>
          <w:p w14:paraId="6C732209" w14:textId="77777777" w:rsidR="005E17DA" w:rsidRPr="009C1E9A" w:rsidRDefault="005E17DA" w:rsidP="00E337B9">
            <w:pPr>
              <w:rPr>
                <w:b/>
                <w:u w:val="single"/>
              </w:rPr>
            </w:pPr>
          </w:p>
        </w:tc>
      </w:tr>
      <w:tr w:rsidR="00364584" w14:paraId="5DB49CF9" w14:textId="77777777" w:rsidTr="00345119">
        <w:tc>
          <w:tcPr>
            <w:tcW w:w="9576" w:type="dxa"/>
          </w:tcPr>
          <w:p w14:paraId="6996EAA5" w14:textId="77777777" w:rsidR="005E17DA" w:rsidRPr="005E17DA" w:rsidRDefault="005E17DA" w:rsidP="00E337B9">
            <w:pPr>
              <w:jc w:val="both"/>
            </w:pPr>
          </w:p>
        </w:tc>
      </w:tr>
    </w:tbl>
    <w:p w14:paraId="479234CD" w14:textId="77777777" w:rsidR="008423E4" w:rsidRPr="00BE0E75" w:rsidRDefault="008423E4" w:rsidP="00E337B9">
      <w:pPr>
        <w:jc w:val="both"/>
        <w:rPr>
          <w:rFonts w:ascii="Arial" w:hAnsi="Arial"/>
          <w:sz w:val="16"/>
          <w:szCs w:val="16"/>
        </w:rPr>
      </w:pPr>
    </w:p>
    <w:p w14:paraId="4F00750A" w14:textId="77777777" w:rsidR="004108C3" w:rsidRPr="008423E4" w:rsidRDefault="004108C3" w:rsidP="00E337B9"/>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C3FA" w14:textId="77777777" w:rsidR="002914F0" w:rsidRDefault="002914F0">
      <w:r>
        <w:separator/>
      </w:r>
    </w:p>
  </w:endnote>
  <w:endnote w:type="continuationSeparator" w:id="0">
    <w:p w14:paraId="211C891C" w14:textId="77777777" w:rsidR="002914F0" w:rsidRDefault="0029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35A5" w14:textId="77777777" w:rsidR="000A5C39" w:rsidRDefault="000A5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364584" w14:paraId="5629740D" w14:textId="77777777" w:rsidTr="009C1E9A">
      <w:trPr>
        <w:cantSplit/>
      </w:trPr>
      <w:tc>
        <w:tcPr>
          <w:tcW w:w="0" w:type="pct"/>
        </w:tcPr>
        <w:p w14:paraId="06802801" w14:textId="77777777" w:rsidR="00137D90" w:rsidRDefault="00137D90" w:rsidP="009C1E9A">
          <w:pPr>
            <w:pStyle w:val="Footer"/>
            <w:tabs>
              <w:tab w:val="clear" w:pos="8640"/>
              <w:tab w:val="right" w:pos="9360"/>
            </w:tabs>
          </w:pPr>
        </w:p>
      </w:tc>
      <w:tc>
        <w:tcPr>
          <w:tcW w:w="2395" w:type="pct"/>
        </w:tcPr>
        <w:p w14:paraId="7D8B6788" w14:textId="77777777" w:rsidR="00137D90" w:rsidRDefault="00137D90" w:rsidP="009C1E9A">
          <w:pPr>
            <w:pStyle w:val="Footer"/>
            <w:tabs>
              <w:tab w:val="clear" w:pos="8640"/>
              <w:tab w:val="right" w:pos="9360"/>
            </w:tabs>
          </w:pPr>
        </w:p>
        <w:p w14:paraId="680FBCF2" w14:textId="77777777" w:rsidR="001A4310" w:rsidRDefault="001A4310" w:rsidP="009C1E9A">
          <w:pPr>
            <w:pStyle w:val="Footer"/>
            <w:tabs>
              <w:tab w:val="clear" w:pos="8640"/>
              <w:tab w:val="right" w:pos="9360"/>
            </w:tabs>
          </w:pPr>
        </w:p>
        <w:p w14:paraId="3ED08986" w14:textId="77777777" w:rsidR="00137D90" w:rsidRDefault="00137D90" w:rsidP="009C1E9A">
          <w:pPr>
            <w:pStyle w:val="Footer"/>
            <w:tabs>
              <w:tab w:val="clear" w:pos="8640"/>
              <w:tab w:val="right" w:pos="9360"/>
            </w:tabs>
          </w:pPr>
        </w:p>
      </w:tc>
      <w:tc>
        <w:tcPr>
          <w:tcW w:w="2453" w:type="pct"/>
        </w:tcPr>
        <w:p w14:paraId="6138ABF3" w14:textId="77777777" w:rsidR="00137D90" w:rsidRDefault="00137D90" w:rsidP="009C1E9A">
          <w:pPr>
            <w:pStyle w:val="Footer"/>
            <w:tabs>
              <w:tab w:val="clear" w:pos="8640"/>
              <w:tab w:val="right" w:pos="9360"/>
            </w:tabs>
            <w:jc w:val="right"/>
          </w:pPr>
        </w:p>
      </w:tc>
    </w:tr>
    <w:tr w:rsidR="00364584" w14:paraId="3BBD6DBC" w14:textId="77777777" w:rsidTr="009C1E9A">
      <w:trPr>
        <w:cantSplit/>
      </w:trPr>
      <w:tc>
        <w:tcPr>
          <w:tcW w:w="0" w:type="pct"/>
        </w:tcPr>
        <w:p w14:paraId="0F55EA59" w14:textId="77777777" w:rsidR="00EC379B" w:rsidRDefault="00EC379B" w:rsidP="009C1E9A">
          <w:pPr>
            <w:pStyle w:val="Footer"/>
            <w:tabs>
              <w:tab w:val="clear" w:pos="8640"/>
              <w:tab w:val="right" w:pos="9360"/>
            </w:tabs>
          </w:pPr>
        </w:p>
      </w:tc>
      <w:tc>
        <w:tcPr>
          <w:tcW w:w="2395" w:type="pct"/>
        </w:tcPr>
        <w:p w14:paraId="6E0C00B7" w14:textId="69077B09" w:rsidR="00EC379B" w:rsidRPr="009C1E9A" w:rsidRDefault="002914F0" w:rsidP="009C1E9A">
          <w:pPr>
            <w:pStyle w:val="Footer"/>
            <w:tabs>
              <w:tab w:val="clear" w:pos="8640"/>
              <w:tab w:val="right" w:pos="9360"/>
            </w:tabs>
            <w:rPr>
              <w:rFonts w:ascii="Shruti" w:hAnsi="Shruti"/>
              <w:sz w:val="22"/>
            </w:rPr>
          </w:pPr>
          <w:r>
            <w:rPr>
              <w:rFonts w:ascii="Shruti" w:hAnsi="Shruti"/>
              <w:sz w:val="22"/>
            </w:rPr>
            <w:t>89R 27277-D</w:t>
          </w:r>
        </w:p>
      </w:tc>
      <w:tc>
        <w:tcPr>
          <w:tcW w:w="2453" w:type="pct"/>
        </w:tcPr>
        <w:p w14:paraId="5D846903" w14:textId="3E9F40DD" w:rsidR="00EC379B" w:rsidRDefault="002914F0" w:rsidP="009C1E9A">
          <w:pPr>
            <w:pStyle w:val="Footer"/>
            <w:tabs>
              <w:tab w:val="clear" w:pos="8640"/>
              <w:tab w:val="right" w:pos="9360"/>
            </w:tabs>
            <w:jc w:val="right"/>
          </w:pPr>
          <w:r>
            <w:fldChar w:fldCharType="begin"/>
          </w:r>
          <w:r>
            <w:instrText xml:space="preserve"> DOCPROPERTY  OTID  \* MERGEFORMAT </w:instrText>
          </w:r>
          <w:r>
            <w:fldChar w:fldCharType="separate"/>
          </w:r>
          <w:r w:rsidR="00B74615">
            <w:t>25.121.156</w:t>
          </w:r>
          <w:r>
            <w:fldChar w:fldCharType="end"/>
          </w:r>
        </w:p>
      </w:tc>
    </w:tr>
    <w:tr w:rsidR="00364584" w14:paraId="4114FD79" w14:textId="77777777" w:rsidTr="009C1E9A">
      <w:trPr>
        <w:cantSplit/>
      </w:trPr>
      <w:tc>
        <w:tcPr>
          <w:tcW w:w="0" w:type="pct"/>
        </w:tcPr>
        <w:p w14:paraId="6D27905F" w14:textId="77777777" w:rsidR="00EC379B" w:rsidRDefault="00EC379B" w:rsidP="009C1E9A">
          <w:pPr>
            <w:pStyle w:val="Footer"/>
            <w:tabs>
              <w:tab w:val="clear" w:pos="4320"/>
              <w:tab w:val="clear" w:pos="8640"/>
              <w:tab w:val="left" w:pos="2865"/>
            </w:tabs>
          </w:pPr>
        </w:p>
      </w:tc>
      <w:tc>
        <w:tcPr>
          <w:tcW w:w="2395" w:type="pct"/>
        </w:tcPr>
        <w:p w14:paraId="21DA8CDE" w14:textId="6052C712" w:rsidR="00EC379B" w:rsidRPr="009C1E9A" w:rsidRDefault="002914F0" w:rsidP="009C1E9A">
          <w:pPr>
            <w:pStyle w:val="Footer"/>
            <w:tabs>
              <w:tab w:val="clear" w:pos="4320"/>
              <w:tab w:val="clear" w:pos="8640"/>
              <w:tab w:val="left" w:pos="2865"/>
            </w:tabs>
            <w:rPr>
              <w:rFonts w:ascii="Shruti" w:hAnsi="Shruti"/>
              <w:sz w:val="22"/>
            </w:rPr>
          </w:pPr>
          <w:r>
            <w:rPr>
              <w:rFonts w:ascii="Shruti" w:hAnsi="Shruti"/>
              <w:sz w:val="22"/>
            </w:rPr>
            <w:t>Substitute Document Number: 89R 14785</w:t>
          </w:r>
        </w:p>
      </w:tc>
      <w:tc>
        <w:tcPr>
          <w:tcW w:w="2453" w:type="pct"/>
        </w:tcPr>
        <w:p w14:paraId="585AD9F8" w14:textId="77777777" w:rsidR="00EC379B" w:rsidRDefault="00EC379B" w:rsidP="006D504F">
          <w:pPr>
            <w:pStyle w:val="Footer"/>
            <w:rPr>
              <w:rStyle w:val="PageNumber"/>
            </w:rPr>
          </w:pPr>
        </w:p>
        <w:p w14:paraId="3068D736" w14:textId="77777777" w:rsidR="00EC379B" w:rsidRDefault="00EC379B" w:rsidP="009C1E9A">
          <w:pPr>
            <w:pStyle w:val="Footer"/>
            <w:tabs>
              <w:tab w:val="clear" w:pos="8640"/>
              <w:tab w:val="right" w:pos="9360"/>
            </w:tabs>
            <w:jc w:val="right"/>
          </w:pPr>
        </w:p>
      </w:tc>
    </w:tr>
    <w:tr w:rsidR="00364584" w14:paraId="3A223955" w14:textId="77777777" w:rsidTr="009C1E9A">
      <w:trPr>
        <w:cantSplit/>
        <w:trHeight w:val="323"/>
      </w:trPr>
      <w:tc>
        <w:tcPr>
          <w:tcW w:w="0" w:type="pct"/>
          <w:gridSpan w:val="3"/>
        </w:tcPr>
        <w:p w14:paraId="5D4CD00A" w14:textId="77777777" w:rsidR="00EC379B" w:rsidRDefault="002914F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6D5FB9A" w14:textId="77777777" w:rsidR="00EC379B" w:rsidRDefault="00EC379B" w:rsidP="009C1E9A">
          <w:pPr>
            <w:pStyle w:val="Footer"/>
            <w:tabs>
              <w:tab w:val="clear" w:pos="8640"/>
              <w:tab w:val="right" w:pos="9360"/>
            </w:tabs>
            <w:jc w:val="center"/>
          </w:pPr>
        </w:p>
      </w:tc>
    </w:tr>
  </w:tbl>
  <w:p w14:paraId="4DFE4B6B"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2C55" w14:textId="77777777" w:rsidR="000A5C39" w:rsidRDefault="000A5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B60E" w14:textId="77777777" w:rsidR="002914F0" w:rsidRDefault="002914F0">
      <w:r>
        <w:separator/>
      </w:r>
    </w:p>
  </w:footnote>
  <w:footnote w:type="continuationSeparator" w:id="0">
    <w:p w14:paraId="3FAF570D" w14:textId="77777777" w:rsidR="002914F0" w:rsidRDefault="00291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E4E2" w14:textId="77777777" w:rsidR="000A5C39" w:rsidRDefault="000A5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746D" w14:textId="77777777" w:rsidR="000A5C39" w:rsidRDefault="000A5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3D72" w14:textId="77777777" w:rsidR="000A5C39" w:rsidRDefault="000A5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66716"/>
    <w:multiLevelType w:val="hybridMultilevel"/>
    <w:tmpl w:val="2B6A049E"/>
    <w:lvl w:ilvl="0" w:tplc="002E278A">
      <w:start w:val="1"/>
      <w:numFmt w:val="decimal"/>
      <w:lvlText w:val="(%1)"/>
      <w:lvlJc w:val="left"/>
      <w:pPr>
        <w:ind w:left="840" w:hanging="480"/>
      </w:pPr>
      <w:rPr>
        <w:rFonts w:hint="default"/>
      </w:rPr>
    </w:lvl>
    <w:lvl w:ilvl="1" w:tplc="374E3324" w:tentative="1">
      <w:start w:val="1"/>
      <w:numFmt w:val="lowerLetter"/>
      <w:lvlText w:val="%2."/>
      <w:lvlJc w:val="left"/>
      <w:pPr>
        <w:ind w:left="1440" w:hanging="360"/>
      </w:pPr>
    </w:lvl>
    <w:lvl w:ilvl="2" w:tplc="61567900" w:tentative="1">
      <w:start w:val="1"/>
      <w:numFmt w:val="lowerRoman"/>
      <w:lvlText w:val="%3."/>
      <w:lvlJc w:val="right"/>
      <w:pPr>
        <w:ind w:left="2160" w:hanging="180"/>
      </w:pPr>
    </w:lvl>
    <w:lvl w:ilvl="3" w:tplc="5BFAD88A" w:tentative="1">
      <w:start w:val="1"/>
      <w:numFmt w:val="decimal"/>
      <w:lvlText w:val="%4."/>
      <w:lvlJc w:val="left"/>
      <w:pPr>
        <w:ind w:left="2880" w:hanging="360"/>
      </w:pPr>
    </w:lvl>
    <w:lvl w:ilvl="4" w:tplc="DA3845E0" w:tentative="1">
      <w:start w:val="1"/>
      <w:numFmt w:val="lowerLetter"/>
      <w:lvlText w:val="%5."/>
      <w:lvlJc w:val="left"/>
      <w:pPr>
        <w:ind w:left="3600" w:hanging="360"/>
      </w:pPr>
    </w:lvl>
    <w:lvl w:ilvl="5" w:tplc="108E970E" w:tentative="1">
      <w:start w:val="1"/>
      <w:numFmt w:val="lowerRoman"/>
      <w:lvlText w:val="%6."/>
      <w:lvlJc w:val="right"/>
      <w:pPr>
        <w:ind w:left="4320" w:hanging="180"/>
      </w:pPr>
    </w:lvl>
    <w:lvl w:ilvl="6" w:tplc="7848DDFE" w:tentative="1">
      <w:start w:val="1"/>
      <w:numFmt w:val="decimal"/>
      <w:lvlText w:val="%7."/>
      <w:lvlJc w:val="left"/>
      <w:pPr>
        <w:ind w:left="5040" w:hanging="360"/>
      </w:pPr>
    </w:lvl>
    <w:lvl w:ilvl="7" w:tplc="DBB2D47A" w:tentative="1">
      <w:start w:val="1"/>
      <w:numFmt w:val="lowerLetter"/>
      <w:lvlText w:val="%8."/>
      <w:lvlJc w:val="left"/>
      <w:pPr>
        <w:ind w:left="5760" w:hanging="360"/>
      </w:pPr>
    </w:lvl>
    <w:lvl w:ilvl="8" w:tplc="C706D04E" w:tentative="1">
      <w:start w:val="1"/>
      <w:numFmt w:val="lowerRoman"/>
      <w:lvlText w:val="%9."/>
      <w:lvlJc w:val="right"/>
      <w:pPr>
        <w:ind w:left="6480" w:hanging="180"/>
      </w:pPr>
    </w:lvl>
  </w:abstractNum>
  <w:abstractNum w:abstractNumId="1" w15:restartNumberingAfterBreak="0">
    <w:nsid w:val="737A603F"/>
    <w:multiLevelType w:val="hybridMultilevel"/>
    <w:tmpl w:val="3DDCA506"/>
    <w:lvl w:ilvl="0" w:tplc="2848C31E">
      <w:start w:val="1"/>
      <w:numFmt w:val="bullet"/>
      <w:lvlText w:val=""/>
      <w:lvlJc w:val="left"/>
      <w:pPr>
        <w:tabs>
          <w:tab w:val="num" w:pos="720"/>
        </w:tabs>
        <w:ind w:left="720" w:hanging="360"/>
      </w:pPr>
      <w:rPr>
        <w:rFonts w:ascii="Symbol" w:hAnsi="Symbol" w:hint="default"/>
      </w:rPr>
    </w:lvl>
    <w:lvl w:ilvl="1" w:tplc="04A0DDCE" w:tentative="1">
      <w:start w:val="1"/>
      <w:numFmt w:val="bullet"/>
      <w:lvlText w:val="o"/>
      <w:lvlJc w:val="left"/>
      <w:pPr>
        <w:ind w:left="1440" w:hanging="360"/>
      </w:pPr>
      <w:rPr>
        <w:rFonts w:ascii="Courier New" w:hAnsi="Courier New" w:cs="Courier New" w:hint="default"/>
      </w:rPr>
    </w:lvl>
    <w:lvl w:ilvl="2" w:tplc="B0648F8E" w:tentative="1">
      <w:start w:val="1"/>
      <w:numFmt w:val="bullet"/>
      <w:lvlText w:val=""/>
      <w:lvlJc w:val="left"/>
      <w:pPr>
        <w:ind w:left="2160" w:hanging="360"/>
      </w:pPr>
      <w:rPr>
        <w:rFonts w:ascii="Wingdings" w:hAnsi="Wingdings" w:hint="default"/>
      </w:rPr>
    </w:lvl>
    <w:lvl w:ilvl="3" w:tplc="BAFE110C" w:tentative="1">
      <w:start w:val="1"/>
      <w:numFmt w:val="bullet"/>
      <w:lvlText w:val=""/>
      <w:lvlJc w:val="left"/>
      <w:pPr>
        <w:ind w:left="2880" w:hanging="360"/>
      </w:pPr>
      <w:rPr>
        <w:rFonts w:ascii="Symbol" w:hAnsi="Symbol" w:hint="default"/>
      </w:rPr>
    </w:lvl>
    <w:lvl w:ilvl="4" w:tplc="5778FA2A" w:tentative="1">
      <w:start w:val="1"/>
      <w:numFmt w:val="bullet"/>
      <w:lvlText w:val="o"/>
      <w:lvlJc w:val="left"/>
      <w:pPr>
        <w:ind w:left="3600" w:hanging="360"/>
      </w:pPr>
      <w:rPr>
        <w:rFonts w:ascii="Courier New" w:hAnsi="Courier New" w:cs="Courier New" w:hint="default"/>
      </w:rPr>
    </w:lvl>
    <w:lvl w:ilvl="5" w:tplc="D1649158" w:tentative="1">
      <w:start w:val="1"/>
      <w:numFmt w:val="bullet"/>
      <w:lvlText w:val=""/>
      <w:lvlJc w:val="left"/>
      <w:pPr>
        <w:ind w:left="4320" w:hanging="360"/>
      </w:pPr>
      <w:rPr>
        <w:rFonts w:ascii="Wingdings" w:hAnsi="Wingdings" w:hint="default"/>
      </w:rPr>
    </w:lvl>
    <w:lvl w:ilvl="6" w:tplc="599ADB88" w:tentative="1">
      <w:start w:val="1"/>
      <w:numFmt w:val="bullet"/>
      <w:lvlText w:val=""/>
      <w:lvlJc w:val="left"/>
      <w:pPr>
        <w:ind w:left="5040" w:hanging="360"/>
      </w:pPr>
      <w:rPr>
        <w:rFonts w:ascii="Symbol" w:hAnsi="Symbol" w:hint="default"/>
      </w:rPr>
    </w:lvl>
    <w:lvl w:ilvl="7" w:tplc="7A3CEB6E" w:tentative="1">
      <w:start w:val="1"/>
      <w:numFmt w:val="bullet"/>
      <w:lvlText w:val="o"/>
      <w:lvlJc w:val="left"/>
      <w:pPr>
        <w:ind w:left="5760" w:hanging="360"/>
      </w:pPr>
      <w:rPr>
        <w:rFonts w:ascii="Courier New" w:hAnsi="Courier New" w:cs="Courier New" w:hint="default"/>
      </w:rPr>
    </w:lvl>
    <w:lvl w:ilvl="8" w:tplc="946672F8" w:tentative="1">
      <w:start w:val="1"/>
      <w:numFmt w:val="bullet"/>
      <w:lvlText w:val=""/>
      <w:lvlJc w:val="left"/>
      <w:pPr>
        <w:ind w:left="6480" w:hanging="360"/>
      </w:pPr>
      <w:rPr>
        <w:rFonts w:ascii="Wingdings" w:hAnsi="Wingdings" w:hint="default"/>
      </w:rPr>
    </w:lvl>
  </w:abstractNum>
  <w:num w:numId="1" w16cid:durableId="824584686">
    <w:abstractNumId w:val="1"/>
  </w:num>
  <w:num w:numId="2" w16cid:durableId="145020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90"/>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1525"/>
    <w:rsid w:val="00043B84"/>
    <w:rsid w:val="0004512B"/>
    <w:rsid w:val="000463F0"/>
    <w:rsid w:val="00046BDA"/>
    <w:rsid w:val="0004762E"/>
    <w:rsid w:val="00051DA9"/>
    <w:rsid w:val="000532BD"/>
    <w:rsid w:val="000555E0"/>
    <w:rsid w:val="00055C12"/>
    <w:rsid w:val="000608B0"/>
    <w:rsid w:val="0006104C"/>
    <w:rsid w:val="00064BF2"/>
    <w:rsid w:val="000667BA"/>
    <w:rsid w:val="000676A7"/>
    <w:rsid w:val="00073914"/>
    <w:rsid w:val="00074236"/>
    <w:rsid w:val="000746BD"/>
    <w:rsid w:val="00076D7D"/>
    <w:rsid w:val="00080D95"/>
    <w:rsid w:val="00083C45"/>
    <w:rsid w:val="00090E6B"/>
    <w:rsid w:val="00091B2C"/>
    <w:rsid w:val="00092ABC"/>
    <w:rsid w:val="00097AAF"/>
    <w:rsid w:val="00097D13"/>
    <w:rsid w:val="000A4893"/>
    <w:rsid w:val="000A54E0"/>
    <w:rsid w:val="000A5C39"/>
    <w:rsid w:val="000A72C4"/>
    <w:rsid w:val="000B0F30"/>
    <w:rsid w:val="000B1486"/>
    <w:rsid w:val="000B3AD6"/>
    <w:rsid w:val="000B3E61"/>
    <w:rsid w:val="000B3E96"/>
    <w:rsid w:val="000B54AF"/>
    <w:rsid w:val="000B6090"/>
    <w:rsid w:val="000B6FEE"/>
    <w:rsid w:val="000C12C4"/>
    <w:rsid w:val="000C49DA"/>
    <w:rsid w:val="000C4B3D"/>
    <w:rsid w:val="000C6DC1"/>
    <w:rsid w:val="000C6E20"/>
    <w:rsid w:val="000C76D7"/>
    <w:rsid w:val="000C7F1D"/>
    <w:rsid w:val="000D0DF1"/>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1360"/>
    <w:rsid w:val="0011274A"/>
    <w:rsid w:val="00113522"/>
    <w:rsid w:val="0011378D"/>
    <w:rsid w:val="00115EE9"/>
    <w:rsid w:val="001169F9"/>
    <w:rsid w:val="00120797"/>
    <w:rsid w:val="001218D2"/>
    <w:rsid w:val="0012371B"/>
    <w:rsid w:val="001245C8"/>
    <w:rsid w:val="00124653"/>
    <w:rsid w:val="001247C5"/>
    <w:rsid w:val="00127893"/>
    <w:rsid w:val="00131034"/>
    <w:rsid w:val="001312BB"/>
    <w:rsid w:val="00137D90"/>
    <w:rsid w:val="00141FB6"/>
    <w:rsid w:val="00142F8E"/>
    <w:rsid w:val="00143C8B"/>
    <w:rsid w:val="00147530"/>
    <w:rsid w:val="00152795"/>
    <w:rsid w:val="0015331F"/>
    <w:rsid w:val="0015527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04DE"/>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3D95"/>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0EAF"/>
    <w:rsid w:val="00251ED5"/>
    <w:rsid w:val="00255EB6"/>
    <w:rsid w:val="00257417"/>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877A3"/>
    <w:rsid w:val="002914F0"/>
    <w:rsid w:val="00291518"/>
    <w:rsid w:val="00296FF0"/>
    <w:rsid w:val="002A17C0"/>
    <w:rsid w:val="002A48DF"/>
    <w:rsid w:val="002A5A84"/>
    <w:rsid w:val="002A6E6F"/>
    <w:rsid w:val="002A74E4"/>
    <w:rsid w:val="002A7CFE"/>
    <w:rsid w:val="002B17D7"/>
    <w:rsid w:val="002B26DD"/>
    <w:rsid w:val="002B2870"/>
    <w:rsid w:val="002B30BD"/>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248F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64584"/>
    <w:rsid w:val="00370155"/>
    <w:rsid w:val="003712D5"/>
    <w:rsid w:val="003747DF"/>
    <w:rsid w:val="00377E3D"/>
    <w:rsid w:val="00377E6F"/>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912"/>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027"/>
    <w:rsid w:val="00484167"/>
    <w:rsid w:val="00487F52"/>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70"/>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2A74"/>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7DA"/>
    <w:rsid w:val="005E1999"/>
    <w:rsid w:val="005E232C"/>
    <w:rsid w:val="005E2B83"/>
    <w:rsid w:val="005E4AEB"/>
    <w:rsid w:val="005E738F"/>
    <w:rsid w:val="005E788B"/>
    <w:rsid w:val="005F1519"/>
    <w:rsid w:val="005F4862"/>
    <w:rsid w:val="005F5679"/>
    <w:rsid w:val="005F5FDF"/>
    <w:rsid w:val="005F6960"/>
    <w:rsid w:val="005F6BEA"/>
    <w:rsid w:val="005F7000"/>
    <w:rsid w:val="005F7AAA"/>
    <w:rsid w:val="00600BAA"/>
    <w:rsid w:val="006012DA"/>
    <w:rsid w:val="00602990"/>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3D85"/>
    <w:rsid w:val="00645750"/>
    <w:rsid w:val="00650692"/>
    <w:rsid w:val="006508D3"/>
    <w:rsid w:val="00650AFA"/>
    <w:rsid w:val="00652A4B"/>
    <w:rsid w:val="00662B77"/>
    <w:rsid w:val="00662D0E"/>
    <w:rsid w:val="00663265"/>
    <w:rsid w:val="0066345F"/>
    <w:rsid w:val="0066485B"/>
    <w:rsid w:val="006670C6"/>
    <w:rsid w:val="0067036E"/>
    <w:rsid w:val="00671693"/>
    <w:rsid w:val="00675584"/>
    <w:rsid w:val="006757AA"/>
    <w:rsid w:val="0068127E"/>
    <w:rsid w:val="00681790"/>
    <w:rsid w:val="006823AA"/>
    <w:rsid w:val="0068302A"/>
    <w:rsid w:val="006834B5"/>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3393"/>
    <w:rsid w:val="006C4709"/>
    <w:rsid w:val="006C47E3"/>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388"/>
    <w:rsid w:val="00742794"/>
    <w:rsid w:val="00743C4C"/>
    <w:rsid w:val="007445B7"/>
    <w:rsid w:val="00744920"/>
    <w:rsid w:val="007509BE"/>
    <w:rsid w:val="0075287B"/>
    <w:rsid w:val="00755C7B"/>
    <w:rsid w:val="00764786"/>
    <w:rsid w:val="007668D1"/>
    <w:rsid w:val="00766E12"/>
    <w:rsid w:val="0077098E"/>
    <w:rsid w:val="00771287"/>
    <w:rsid w:val="0077149E"/>
    <w:rsid w:val="00777518"/>
    <w:rsid w:val="00777644"/>
    <w:rsid w:val="0077779E"/>
    <w:rsid w:val="00780FB6"/>
    <w:rsid w:val="0078103B"/>
    <w:rsid w:val="0078552A"/>
    <w:rsid w:val="00785729"/>
    <w:rsid w:val="00786058"/>
    <w:rsid w:val="00793C93"/>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102A"/>
    <w:rsid w:val="007F3861"/>
    <w:rsid w:val="007F4162"/>
    <w:rsid w:val="007F5441"/>
    <w:rsid w:val="007F6293"/>
    <w:rsid w:val="007F7668"/>
    <w:rsid w:val="00800C63"/>
    <w:rsid w:val="00802243"/>
    <w:rsid w:val="008023D4"/>
    <w:rsid w:val="00804124"/>
    <w:rsid w:val="00805402"/>
    <w:rsid w:val="0080765F"/>
    <w:rsid w:val="00812985"/>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09D"/>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87850"/>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2270"/>
    <w:rsid w:val="008F3053"/>
    <w:rsid w:val="008F3136"/>
    <w:rsid w:val="008F40DF"/>
    <w:rsid w:val="008F5E16"/>
    <w:rsid w:val="008F5EFC"/>
    <w:rsid w:val="00901670"/>
    <w:rsid w:val="00902212"/>
    <w:rsid w:val="00903E0A"/>
    <w:rsid w:val="00904721"/>
    <w:rsid w:val="009062D8"/>
    <w:rsid w:val="00907780"/>
    <w:rsid w:val="00907EDD"/>
    <w:rsid w:val="009107AD"/>
    <w:rsid w:val="00915568"/>
    <w:rsid w:val="00917E0C"/>
    <w:rsid w:val="00920711"/>
    <w:rsid w:val="00921A1E"/>
    <w:rsid w:val="00924EA9"/>
    <w:rsid w:val="00925CE1"/>
    <w:rsid w:val="00925EA9"/>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68CD"/>
    <w:rsid w:val="00987F00"/>
    <w:rsid w:val="0099403D"/>
    <w:rsid w:val="00995B0B"/>
    <w:rsid w:val="009A1883"/>
    <w:rsid w:val="009A39F5"/>
    <w:rsid w:val="009A4588"/>
    <w:rsid w:val="009A5EA5"/>
    <w:rsid w:val="009A6701"/>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C7D09"/>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17A"/>
    <w:rsid w:val="009F64AE"/>
    <w:rsid w:val="00A0042D"/>
    <w:rsid w:val="00A0053A"/>
    <w:rsid w:val="00A00C33"/>
    <w:rsid w:val="00A01103"/>
    <w:rsid w:val="00A012C0"/>
    <w:rsid w:val="00A014BB"/>
    <w:rsid w:val="00A01E10"/>
    <w:rsid w:val="00A02588"/>
    <w:rsid w:val="00A02D81"/>
    <w:rsid w:val="00A03F54"/>
    <w:rsid w:val="00A0432D"/>
    <w:rsid w:val="00A06420"/>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37019"/>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74615"/>
    <w:rsid w:val="00B80532"/>
    <w:rsid w:val="00B82039"/>
    <w:rsid w:val="00B82454"/>
    <w:rsid w:val="00B90097"/>
    <w:rsid w:val="00B90146"/>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C679D"/>
    <w:rsid w:val="00BD0A32"/>
    <w:rsid w:val="00BD4E55"/>
    <w:rsid w:val="00BD513B"/>
    <w:rsid w:val="00BD5DB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69D"/>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571"/>
    <w:rsid w:val="00C95A73"/>
    <w:rsid w:val="00CA02B0"/>
    <w:rsid w:val="00CA032E"/>
    <w:rsid w:val="00CA2182"/>
    <w:rsid w:val="00CA2186"/>
    <w:rsid w:val="00CA26EF"/>
    <w:rsid w:val="00CA3608"/>
    <w:rsid w:val="00CA4CA0"/>
    <w:rsid w:val="00CA5E5E"/>
    <w:rsid w:val="00CA7D7B"/>
    <w:rsid w:val="00CB0131"/>
    <w:rsid w:val="00CB099F"/>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0680"/>
    <w:rsid w:val="00D22160"/>
    <w:rsid w:val="00D22172"/>
    <w:rsid w:val="00D224DA"/>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E7EE3"/>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1384"/>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37B9"/>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5DED"/>
    <w:rsid w:val="00E56033"/>
    <w:rsid w:val="00E61159"/>
    <w:rsid w:val="00E625DA"/>
    <w:rsid w:val="00E634DC"/>
    <w:rsid w:val="00E64BA6"/>
    <w:rsid w:val="00E667F3"/>
    <w:rsid w:val="00E67794"/>
    <w:rsid w:val="00E6780A"/>
    <w:rsid w:val="00E70CC6"/>
    <w:rsid w:val="00E71254"/>
    <w:rsid w:val="00E73CCD"/>
    <w:rsid w:val="00E76453"/>
    <w:rsid w:val="00E77353"/>
    <w:rsid w:val="00E775AE"/>
    <w:rsid w:val="00E8272C"/>
    <w:rsid w:val="00E827C7"/>
    <w:rsid w:val="00E83E58"/>
    <w:rsid w:val="00E85DBD"/>
    <w:rsid w:val="00E87A99"/>
    <w:rsid w:val="00E90702"/>
    <w:rsid w:val="00E9241E"/>
    <w:rsid w:val="00E93DEF"/>
    <w:rsid w:val="00E947B1"/>
    <w:rsid w:val="00E9683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4B43"/>
    <w:rsid w:val="00F15223"/>
    <w:rsid w:val="00F164B4"/>
    <w:rsid w:val="00F176E4"/>
    <w:rsid w:val="00F20E5F"/>
    <w:rsid w:val="00F25C26"/>
    <w:rsid w:val="00F25CC2"/>
    <w:rsid w:val="00F2725E"/>
    <w:rsid w:val="00F27573"/>
    <w:rsid w:val="00F307B6"/>
    <w:rsid w:val="00F30EB8"/>
    <w:rsid w:val="00F31876"/>
    <w:rsid w:val="00F318CA"/>
    <w:rsid w:val="00F31C67"/>
    <w:rsid w:val="00F36FE0"/>
    <w:rsid w:val="00F37EA8"/>
    <w:rsid w:val="00F40B14"/>
    <w:rsid w:val="00F41186"/>
    <w:rsid w:val="00F41EEF"/>
    <w:rsid w:val="00F41FAC"/>
    <w:rsid w:val="00F420C6"/>
    <w:rsid w:val="00F423D3"/>
    <w:rsid w:val="00F44349"/>
    <w:rsid w:val="00F44CAB"/>
    <w:rsid w:val="00F4569E"/>
    <w:rsid w:val="00F45AFC"/>
    <w:rsid w:val="00F462F4"/>
    <w:rsid w:val="00F50130"/>
    <w:rsid w:val="00F512D9"/>
    <w:rsid w:val="00F52402"/>
    <w:rsid w:val="00F53593"/>
    <w:rsid w:val="00F5605D"/>
    <w:rsid w:val="00F6514B"/>
    <w:rsid w:val="00F6533E"/>
    <w:rsid w:val="00F6587F"/>
    <w:rsid w:val="00F67981"/>
    <w:rsid w:val="00F706CA"/>
    <w:rsid w:val="00F70F8D"/>
    <w:rsid w:val="00F71C5A"/>
    <w:rsid w:val="00F733A4"/>
    <w:rsid w:val="00F7758F"/>
    <w:rsid w:val="00F82811"/>
    <w:rsid w:val="00F83746"/>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6EE5E2-1DB3-4705-9EAF-83792E91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9A6701"/>
    <w:rPr>
      <w:sz w:val="16"/>
      <w:szCs w:val="16"/>
    </w:rPr>
  </w:style>
  <w:style w:type="paragraph" w:styleId="CommentText">
    <w:name w:val="annotation text"/>
    <w:basedOn w:val="Normal"/>
    <w:link w:val="CommentTextChar"/>
    <w:unhideWhenUsed/>
    <w:rsid w:val="009A6701"/>
    <w:rPr>
      <w:sz w:val="20"/>
      <w:szCs w:val="20"/>
    </w:rPr>
  </w:style>
  <w:style w:type="character" w:customStyle="1" w:styleId="CommentTextChar">
    <w:name w:val="Comment Text Char"/>
    <w:basedOn w:val="DefaultParagraphFont"/>
    <w:link w:val="CommentText"/>
    <w:rsid w:val="009A6701"/>
  </w:style>
  <w:style w:type="paragraph" w:styleId="CommentSubject">
    <w:name w:val="annotation subject"/>
    <w:basedOn w:val="CommentText"/>
    <w:next w:val="CommentText"/>
    <w:link w:val="CommentSubjectChar"/>
    <w:semiHidden/>
    <w:unhideWhenUsed/>
    <w:rsid w:val="009A6701"/>
    <w:rPr>
      <w:b/>
      <w:bCs/>
    </w:rPr>
  </w:style>
  <w:style w:type="character" w:customStyle="1" w:styleId="CommentSubjectChar">
    <w:name w:val="Comment Subject Char"/>
    <w:basedOn w:val="CommentTextChar"/>
    <w:link w:val="CommentSubject"/>
    <w:semiHidden/>
    <w:rsid w:val="009A6701"/>
    <w:rPr>
      <w:b/>
      <w:bCs/>
    </w:rPr>
  </w:style>
  <w:style w:type="paragraph" w:styleId="Revision">
    <w:name w:val="Revision"/>
    <w:hidden/>
    <w:uiPriority w:val="99"/>
    <w:semiHidden/>
    <w:rsid w:val="00E55D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3526</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BA - HB04035 (Committee Report (Substituted))</vt:lpstr>
    </vt:vector>
  </TitlesOfParts>
  <Company>State of Texas</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27277</dc:subject>
  <dc:creator>State of Texas</dc:creator>
  <dc:description>HB 4035 by Dutton-(H)Judiciary &amp; Civil Jurisprudence (Substitute Document Number: 89R 14785)</dc:description>
  <cp:lastModifiedBy>Thomas Weis</cp:lastModifiedBy>
  <cp:revision>2</cp:revision>
  <cp:lastPrinted>2003-11-26T17:21:00Z</cp:lastPrinted>
  <dcterms:created xsi:type="dcterms:W3CDTF">2025-05-05T22:11:00Z</dcterms:created>
  <dcterms:modified xsi:type="dcterms:W3CDTF">2025-05-05T22:11:00Z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25.121.156</vt:lpwstr>
  </property>
</Properties>
</file>