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89R8635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Villalobos, Leo Wilson, Troxclair, Cook,</w:t>
      </w:r>
      <w:r xml:space="preserve">
        <w:tab wTab="150" tlc="none" cTlc="0"/>
      </w:r>
      <w:r>
        <w:t xml:space="preserve">H.B.</w:t>
      </w:r>
      <w:r xml:space="preserve">
        <w:t> </w:t>
      </w:r>
      <w:r>
        <w:t xml:space="preserve">No.</w:t>
      </w:r>
      <w:r xml:space="preserve">
        <w:t> </w:t>
      </w:r>
      <w:r>
        <w:t xml:space="preserve">2306</w:t>
      </w:r>
    </w:p>
    <w:p w:rsidR="003F3435" w:rsidRDefault="0032493E">
      <w:pPr>
        <w:jc w:val="both"/>
      </w:pPr>
      <w:r xml:space="preserve">
        <w:t> </w:t>
      </w:r>
      <w:r xml:space="preserve">
        <w:t> </w:t>
      </w:r>
      <w:r xml:space="preserve">
        <w:t> </w:t>
      </w:r>
      <w:r xml:space="preserve">
        <w:t> </w:t>
      </w:r>
      <w:r xml:space="preserve">
        <w:t> </w:t>
      </w:r>
      <w:r>
        <w:t xml:space="preserve">Plesa,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changing the eligibility for release on parole of certain inmates serving sentences for trafficking offenses involving child victims and disabled individuals.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508.145(a),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An inmate is not eligible for release on parole if the inmate is under sentence of death, serving a sentence of life imprisonment without parole, or serving a sentence for any of the following offenses under the Penal Code:</w:t>
      </w:r>
    </w:p>
    <w:p w:rsidR="003F3435" w:rsidRDefault="0032493E">
      <w:pPr>
        <w:spacing w:line="480" w:lineRule="auto"/>
        <w:ind w:firstLine="1440"/>
        <w:jc w:val="both"/>
      </w:pPr>
      <w:r>
        <w:t xml:space="preserve">(1)</w:t>
      </w:r>
      <w:r xml:space="preserve">
        <w:t> </w:t>
      </w:r>
      <w:r xml:space="preserve">
        <w:t> </w:t>
      </w:r>
      <w:r>
        <w:rPr>
          <w:u w:val="single"/>
        </w:rPr>
        <w:t xml:space="preserve">Section 20A.02(a)(5), (6), (7), or (8);</w:t>
      </w:r>
    </w:p>
    <w:p w:rsidR="003F3435" w:rsidRDefault="0032493E">
      <w:pPr>
        <w:spacing w:line="480" w:lineRule="auto"/>
        <w:ind w:firstLine="1440"/>
        <w:jc w:val="both"/>
      </w:pPr>
      <w:r>
        <w:rPr>
          <w:u w:val="single"/>
        </w:rPr>
        <w:t xml:space="preserve">(2)</w:t>
      </w:r>
      <w:r xml:space="preserve">
        <w:t> </w:t>
      </w:r>
      <w:r xml:space="preserve">
        <w:t> </w:t>
      </w:r>
      <w:r>
        <w:t xml:space="preserve">Section 20A.03, if the offense is based partly or wholly on conduct constituting an offense under Section 20A.02(a)(5), (6), (7), or (8);</w:t>
      </w:r>
    </w:p>
    <w:p w:rsidR="003F3435" w:rsidRDefault="0032493E">
      <w:pPr>
        <w:spacing w:line="480" w:lineRule="auto"/>
        <w:ind w:firstLine="1440"/>
        <w:jc w:val="both"/>
      </w:pPr>
      <w:r>
        <w:rPr>
          <w:u w:val="single"/>
        </w:rPr>
        <w:t xml:space="preserve">(3)</w:t>
      </w:r>
      <w:r xml:space="preserve">
        <w:t> </w:t>
      </w:r>
      <w:r>
        <w:t xml:space="preserve">[</w:t>
      </w:r>
      <w:r>
        <w:rPr>
          <w:strike/>
        </w:rPr>
        <w:t xml:space="preserve">(2)</w:t>
      </w:r>
      <w:r>
        <w:t xml:space="preserve">]</w:t>
      </w:r>
      <w:r xml:space="preserve">
        <w:t> </w:t>
      </w:r>
      <w:r xml:space="preserve">
        <w:t> </w:t>
      </w:r>
      <w:r>
        <w:t xml:space="preserve">Section 21.02;</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Section 22.021, if the offense is punishable under Subsection (f) of that section; or</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Section 51.03 or 51.04.</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508.145(d)(1), Government Code, is amended to read as follows:</w:t>
      </w:r>
    </w:p>
    <w:p w:rsidR="003F3435" w:rsidRDefault="0032493E">
      <w:pPr>
        <w:spacing w:line="480" w:lineRule="auto"/>
        <w:ind w:firstLine="720"/>
        <w:jc w:val="both"/>
      </w:pPr>
      <w:r>
        <w:t xml:space="preserve">(d)(1)</w:t>
      </w:r>
      <w:r xml:space="preserve">
        <w:t> </w:t>
      </w:r>
      <w:r xml:space="preserve">
        <w:t> </w:t>
      </w:r>
      <w:r>
        <w:t xml:space="preserve">This subsection applies only to an inmate who is serving a sentence for:</w:t>
      </w:r>
    </w:p>
    <w:p w:rsidR="003F3435" w:rsidRDefault="0032493E">
      <w:pPr>
        <w:spacing w:line="480" w:lineRule="auto"/>
        <w:ind w:firstLine="2160"/>
        <w:jc w:val="both"/>
      </w:pPr>
      <w:r>
        <w:t xml:space="preserve">(A)</w:t>
      </w:r>
      <w:r xml:space="preserve">
        <w:t> </w:t>
      </w:r>
      <w:r xml:space="preserve">
        <w:t> </w:t>
      </w:r>
      <w:r>
        <w:t xml:space="preserve">an offense described by Article 42A.054(a), Code of Criminal Procedure, other than an offense under Section 19.03, Penal Code, or an offense under Chapter 20A, Penal Code, that is described by Subsection (a)(1) or </w:t>
      </w:r>
      <w:r>
        <w:rPr>
          <w:u w:val="single"/>
        </w:rPr>
        <w:t xml:space="preserve">(2)</w:t>
      </w:r>
      <w:r>
        <w:t xml:space="preserve"> [</w:t>
      </w:r>
      <w:r>
        <w:rPr>
          <w:strike/>
        </w:rPr>
        <w:t xml:space="preserve">(c-1)(1)</w:t>
      </w:r>
      <w:r>
        <w:t xml:space="preserve">];</w:t>
      </w:r>
    </w:p>
    <w:p w:rsidR="003F3435" w:rsidRDefault="0032493E">
      <w:pPr>
        <w:spacing w:line="480" w:lineRule="auto"/>
        <w:ind w:firstLine="2160"/>
        <w:jc w:val="both"/>
      </w:pPr>
      <w:r>
        <w:t xml:space="preserve">(B)</w:t>
      </w:r>
      <w:r xml:space="preserve">
        <w:t> </w:t>
      </w:r>
      <w:r xml:space="preserve">
        <w:t> </w:t>
      </w:r>
      <w:r>
        <w:t xml:space="preserve">an offense for which the judgment contains an affirmative finding under Article 42A.054(c) or (d), Code of Criminal Procedure; or</w:t>
      </w:r>
    </w:p>
    <w:p w:rsidR="003F3435" w:rsidRDefault="0032493E">
      <w:pPr>
        <w:spacing w:line="480" w:lineRule="auto"/>
        <w:ind w:firstLine="2160"/>
        <w:jc w:val="both"/>
      </w:pPr>
      <w:r>
        <w:t xml:space="preserve">(C)</w:t>
      </w:r>
      <w:r xml:space="preserve">
        <w:t> </w:t>
      </w:r>
      <w:r xml:space="preserve">
        <w:t> </w:t>
      </w:r>
      <w:r>
        <w:t xml:space="preserve">an offense under Section 71.02 or 71.023, Penal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Article 42.01991, Code of Criminal Procedure; and</w:t>
      </w:r>
    </w:p>
    <w:p w:rsidR="003F3435" w:rsidRDefault="0032493E">
      <w:pPr>
        <w:spacing w:line="480" w:lineRule="auto"/>
        <w:ind w:firstLine="1440"/>
        <w:jc w:val="both"/>
      </w:pPr>
      <w:r>
        <w:t xml:space="preserve">(2)</w:t>
      </w:r>
      <w:r xml:space="preserve">
        <w:t> </w:t>
      </w:r>
      <w:r xml:space="preserve">
        <w:t> </w:t>
      </w:r>
      <w:r>
        <w:t xml:space="preserve">Section 508.145(c-1),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