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l="urn::tlc.state.tx.us.salsa.legdoc"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l="urn::tlc.state.tx.us.salsa.legdoc">
    <w:p w:rsidR="003F3435" w:rsidRDefault="0032493E">
      <w:r>
        <w:rPr>
          <w:noProof/>
        </w:rPr>
        <w:t>89R23192 BCH-F</w:t>
      </w:r>
    </w:p>
    <w:p w:rsidR="003F3435" w:rsidRDefault="003F3435"/>
    <w:p w:rsidR="003F3435" w:rsidRDefault="003F3435">
      <w:pPr>
        <w:tabs>
          <w:tab w:val="right" w:pos="9270"/>
        </w:tabs>
        <w:spacing w:line="40" w:lineRule="auto"/>
        <w:jc w:val="both"/>
      </w:pPr>
    </w:p>
    <w:p w:rsidR="003F3435" w:rsidRDefault="0032493E">
      <w:pPr>
        <w:spacing w:line="480" w:lineRule="auto"/>
        <w:jc w:val="both"/>
        <w:tabs>
          <w:tab w:val="right" w:leader="none" w:pos="9350"/>
        </w:tabs>
      </w:pPr>
      <w:r>
        <w:t xml:space="preserve">By:</w:t>
      </w:r>
      <w:r xml:space="preserve">
        <w:t> </w:t>
      </w:r>
      <w:r xml:space="preserve">
        <w:t> </w:t>
      </w:r>
      <w:r>
        <w:t xml:space="preserve">Zwiener</w:t>
      </w:r>
      <w:r xml:space="preserve">
        <w:tab wTab="150" tlc="none" cTlc="0"/>
      </w:r>
      <w:r>
        <w:t xml:space="preserve">H.B.</w:t>
      </w:r>
      <w:r xml:space="preserve">
        <w:t> </w:t>
      </w:r>
      <w:r>
        <w:t xml:space="preserve">No.</w:t>
      </w:r>
      <w:r xml:space="preserve">
        <w:t> </w:t>
      </w:r>
      <w:r>
        <w:t xml:space="preserve">4139</w:t>
      </w:r>
    </w:p>
    <w:p w:rsidR="003F3435" w:rsidRDefault="0032493E">
      <w:pPr>
        <w:spacing w:line="480" w:lineRule="auto"/>
        <w:jc w:val="both"/>
      </w:pPr>
      <w:r>
        <w:t xml:space="preserve">Substitute the following for</w:t>
      </w:r>
      <w:r xml:space="preserve">
        <w:t> </w:t>
      </w:r>
      <w:r>
        <w:t xml:space="preserve">H.B.</w:t>
      </w:r>
      <w:r xml:space="preserve">
        <w:t> </w:t>
      </w:r>
      <w:r>
        <w:t xml:space="preserve">No.</w:t>
      </w:r>
      <w:r xml:space="preserve">
        <w:t> </w:t>
      </w:r>
      <w:r>
        <w:t xml:space="preserve">4139:</w:t>
      </w:r>
    </w:p>
    <w:p w:rsidR="003F3435" w:rsidRDefault="0032493E">
      <w:pPr>
        <w:spacing w:line="480" w:lineRule="auto"/>
        <w:jc w:val="both"/>
        <w:tabs>
          <w:tab w:val="right" w:leader="none" w:pos="9350"/>
        </w:tabs>
      </w:pPr>
      <w:r>
        <w:t xml:space="preserve">By:</w:t>
      </w:r>
      <w:r xml:space="preserve">
        <w:t> </w:t>
      </w:r>
      <w:r xml:space="preserve">
        <w:t> </w:t>
      </w:r>
      <w:r>
        <w:t xml:space="preserve">Johnson</w:t>
      </w:r>
      <w:r xml:space="preserve">
        <w:tab wTab="150" tlc="none" cTlc="0"/>
      </w:r>
      <w:r>
        <w:t xml:space="preserve">C.S.H.B.</w:t>
      </w:r>
      <w:r xml:space="preserve">
        <w:t> </w:t>
      </w:r>
      <w:r>
        <w:t xml:space="preserve">No.</w:t>
      </w:r>
      <w:r xml:space="preserve">
        <w:t> </w:t>
      </w:r>
      <w:r>
        <w:t xml:space="preserve">4139</w:t>
      </w:r>
    </w:p>
    <w:p w:rsidR="003F3435" w:rsidRDefault="003F3435"/>
    <w:p w:rsidR="003F3435" w:rsidRDefault="003F3435"/>
    <w:p w:rsidR="003F3435" w:rsidRDefault="0032493E">
      <w:pPr>
        <w:spacing w:line="480" w:lineRule="auto"/>
        <w:jc w:val="center"/>
      </w:pPr>
      <w:r>
        <w:t xml:space="preserve">A BILL TO BE ENTITLED</w:t>
      </w:r>
    </w:p>
    <w:p w:rsidR="003F3435" w:rsidRDefault="0032493E">
      <w:pPr>
        <w:spacing w:line="480" w:lineRule="auto"/>
        <w:jc w:val="center"/>
      </w:pPr>
      <w:r>
        <w:t xml:space="preserve">AN ACT</w:t>
      </w:r>
    </w:p>
    <w:p w:rsidR="003F3435" w:rsidRDefault="0032493E">
      <w:pPr>
        <w:spacing w:line="480" w:lineRule="auto"/>
        <w:jc w:val="both"/>
      </w:pPr>
      <w:r>
        <w:t xml:space="preserve">relating to the use of videography in certain court proceedings.</w:t>
      </w:r>
    </w:p>
    <w:p w:rsidR="003F3435" w:rsidRDefault="0032493E">
      <w:pPr>
        <w:spacing w:line="480" w:lineRule="auto"/>
        <w:ind w:firstLine="720"/>
        <w:jc w:val="both"/>
      </w:pPr>
      <w:r>
        <w:t xml:space="preserve">BE IT ENACTED BY THE LEGISLATURE OF THE STATE OF TEXAS:</w:t>
      </w:r>
    </w:p>
    <w:p w:rsidR="003F3435" w:rsidRDefault="0032493E">
      <w:pPr>
        <w:spacing w:line="480" w:lineRule="auto"/>
        <w:ind w:firstLine="720"/>
        <w:jc w:val="both"/>
      </w:pPr>
      <w:r>
        <w:t xml:space="preserve">SECTION</w:t>
      </w:r>
      <w:r xml:space="preserve">
        <w:t> </w:t>
      </w:r>
      <w:r>
        <w:t xml:space="preserve">1</w:t>
      </w:r>
      <w:r>
        <w:t xml:space="preserve">.</w:t>
      </w:r>
      <w:r xml:space="preserve">
        <w:t> </w:t>
      </w:r>
      <w:r xml:space="preserve">
        <w:t> </w:t>
      </w:r>
      <w:r>
        <w:t xml:space="preserve">Chapter 21, Government Code, is amended by adding Section 21.014 to read as follows:</w:t>
      </w:r>
    </w:p>
    <w:p w:rsidR="003F3435" w:rsidRDefault="0032493E">
      <w:pPr>
        <w:spacing w:line="480" w:lineRule="auto"/>
        <w:ind w:firstLine="720"/>
        <w:jc w:val="both"/>
      </w:pPr>
      <w:r>
        <w:rPr>
          <w:u w:val="single"/>
        </w:rPr>
        <w:t xml:space="preserve">Sec.</w:t>
      </w:r>
      <w:r>
        <w:rPr>
          <w:u w:val="single"/>
        </w:rPr>
        <w:t xml:space="preserve"> </w:t>
      </w:r>
      <w:r>
        <w:rPr>
          <w:u w:val="single"/>
        </w:rPr>
        <w:t xml:space="preserve">21.014.</w:t>
      </w:r>
      <w:r>
        <w:rPr>
          <w:u w:val="single"/>
        </w:rPr>
        <w:t xml:space="preserve"> </w:t>
      </w:r>
      <w:r>
        <w:rPr>
          <w:u w:val="single"/>
        </w:rPr>
        <w:t xml:space="preserve"> </w:t>
      </w:r>
      <w:r>
        <w:rPr>
          <w:u w:val="single"/>
        </w:rPr>
        <w:t xml:space="preserve">USE OF VIDEOGRAPHY IN CERTAIN COURT PROCEEDINGS.  (a)  In this section, "videography" means software or hardware designed to record audiovisual information for wider circulation, including by livestreaming.</w:t>
      </w:r>
    </w:p>
    <w:p w:rsidR="003F3435" w:rsidRDefault="0032493E">
      <w:pPr>
        <w:spacing w:line="480" w:lineRule="auto"/>
        <w:ind w:firstLine="720"/>
        <w:jc w:val="both"/>
      </w:pPr>
      <w:r>
        <w:rPr>
          <w:u w:val="single"/>
        </w:rPr>
        <w:t xml:space="preserve">(b)</w:t>
      </w:r>
      <w:r>
        <w:rPr>
          <w:u w:val="single"/>
        </w:rPr>
        <w:t xml:space="preserve"> </w:t>
      </w:r>
      <w:r>
        <w:rPr>
          <w:u w:val="single"/>
        </w:rPr>
        <w:t xml:space="preserve"> </w:t>
      </w:r>
      <w:r>
        <w:rPr>
          <w:u w:val="single"/>
        </w:rPr>
        <w:t xml:space="preserve">Except as otherwise provided by this section, videography may not be used:</w:t>
      </w:r>
    </w:p>
    <w:p w:rsidR="003F3435" w:rsidRDefault="0032493E">
      <w:pPr>
        <w:spacing w:line="480" w:lineRule="auto"/>
        <w:ind w:firstLine="1440"/>
        <w:jc w:val="both"/>
      </w:pPr>
      <w:r>
        <w:rPr>
          <w:u w:val="single"/>
        </w:rPr>
        <w:t xml:space="preserve">(1)</w:t>
      </w:r>
      <w:r>
        <w:rPr>
          <w:u w:val="single"/>
        </w:rPr>
        <w:t xml:space="preserve"> </w:t>
      </w:r>
      <w:r>
        <w:rPr>
          <w:u w:val="single"/>
        </w:rPr>
        <w:t xml:space="preserve"> </w:t>
      </w:r>
      <w:r>
        <w:rPr>
          <w:u w:val="single"/>
        </w:rPr>
        <w:t xml:space="preserve">during voir dire examination of a prospective juror;</w:t>
      </w:r>
    </w:p>
    <w:p w:rsidR="003F3435" w:rsidRDefault="0032493E">
      <w:pPr>
        <w:spacing w:line="480" w:lineRule="auto"/>
        <w:ind w:firstLine="1440"/>
        <w:jc w:val="both"/>
      </w:pPr>
      <w:r>
        <w:rPr>
          <w:u w:val="single"/>
        </w:rPr>
        <w:t xml:space="preserve">(2)</w:t>
      </w:r>
      <w:r>
        <w:rPr>
          <w:u w:val="single"/>
        </w:rPr>
        <w:t xml:space="preserve"> </w:t>
      </w:r>
      <w:r>
        <w:rPr>
          <w:u w:val="single"/>
        </w:rPr>
        <w:t xml:space="preserve"> </w:t>
      </w:r>
      <w:r>
        <w:rPr>
          <w:u w:val="single"/>
        </w:rPr>
        <w:t xml:space="preserve">in a court proceeding involving a child under the age of 18 who was or is alleged to have been a victim of:</w:t>
      </w:r>
    </w:p>
    <w:p w:rsidR="003F3435" w:rsidRDefault="0032493E">
      <w:pPr>
        <w:spacing w:line="480" w:lineRule="auto"/>
        <w:ind w:firstLine="2160"/>
        <w:jc w:val="both"/>
      </w:pPr>
      <w:r>
        <w:rPr>
          <w:u w:val="single"/>
        </w:rPr>
        <w:t xml:space="preserve">(A)</w:t>
      </w:r>
      <w:r>
        <w:rPr>
          <w:u w:val="single"/>
        </w:rPr>
        <w:t xml:space="preserve"> </w:t>
      </w:r>
      <w:r>
        <w:rPr>
          <w:u w:val="single"/>
        </w:rPr>
        <w:t xml:space="preserve"> </w:t>
      </w:r>
      <w:r>
        <w:rPr>
          <w:u w:val="single"/>
        </w:rPr>
        <w:t xml:space="preserve">an offense under Section 22.011, 22.04, 22.041, or 42.07, Penal Code;</w:t>
      </w:r>
    </w:p>
    <w:p w:rsidR="003F3435" w:rsidRDefault="0032493E">
      <w:pPr>
        <w:spacing w:line="480" w:lineRule="auto"/>
        <w:ind w:firstLine="2160"/>
        <w:jc w:val="both"/>
      </w:pPr>
      <w:r>
        <w:rPr>
          <w:u w:val="single"/>
        </w:rPr>
        <w:t xml:space="preserve">(B)</w:t>
      </w:r>
      <w:r>
        <w:rPr>
          <w:u w:val="single"/>
        </w:rPr>
        <w:t xml:space="preserve"> </w:t>
      </w:r>
      <w:r>
        <w:rPr>
          <w:u w:val="single"/>
        </w:rPr>
        <w:t xml:space="preserve"> </w:t>
      </w:r>
      <w:r>
        <w:rPr>
          <w:u w:val="single"/>
        </w:rPr>
        <w:t xml:space="preserve">an offense involving family violence as defined by Section 71.004, Family Code; or</w:t>
      </w:r>
    </w:p>
    <w:p w:rsidR="003F3435" w:rsidRDefault="0032493E">
      <w:pPr>
        <w:spacing w:line="480" w:lineRule="auto"/>
        <w:ind w:firstLine="2160"/>
        <w:jc w:val="both"/>
      </w:pPr>
      <w:r>
        <w:rPr>
          <w:u w:val="single"/>
        </w:rPr>
        <w:t xml:space="preserve">(C)</w:t>
      </w:r>
      <w:r>
        <w:rPr>
          <w:u w:val="single"/>
        </w:rPr>
        <w:t xml:space="preserve"> </w:t>
      </w:r>
      <w:r>
        <w:rPr>
          <w:u w:val="single"/>
        </w:rPr>
        <w:t xml:space="preserve"> </w:t>
      </w:r>
      <w:r>
        <w:rPr>
          <w:u w:val="single"/>
        </w:rPr>
        <w:t xml:space="preserve">other conduct in which evidence that would be embarrassing to the child may be offered; or</w:t>
      </w:r>
    </w:p>
    <w:p w:rsidR="003F3435" w:rsidRDefault="0032493E">
      <w:pPr>
        <w:spacing w:line="480" w:lineRule="auto"/>
        <w:ind w:firstLine="1440"/>
        <w:jc w:val="both"/>
      </w:pPr>
      <w:r>
        <w:rPr>
          <w:u w:val="single"/>
        </w:rPr>
        <w:t xml:space="preserve">(3)</w:t>
      </w:r>
      <w:r>
        <w:rPr>
          <w:u w:val="single"/>
        </w:rPr>
        <w:t xml:space="preserve"> </w:t>
      </w:r>
      <w:r>
        <w:rPr>
          <w:u w:val="single"/>
        </w:rPr>
        <w:t xml:space="preserve"> </w:t>
      </w:r>
      <w:r>
        <w:rPr>
          <w:u w:val="single"/>
        </w:rPr>
        <w:t xml:space="preserve">except as provided by Subsection (d), in a court proceeding involving a person who is 18 years of age or older and who was or is alleged to have been a victim of:</w:t>
      </w:r>
    </w:p>
    <w:p w:rsidR="003F3435" w:rsidRDefault="0032493E">
      <w:pPr>
        <w:spacing w:line="480" w:lineRule="auto"/>
        <w:ind w:firstLine="2160"/>
        <w:jc w:val="both"/>
      </w:pPr>
      <w:r>
        <w:rPr>
          <w:u w:val="single"/>
        </w:rPr>
        <w:t xml:space="preserve">(A)</w:t>
      </w:r>
      <w:r>
        <w:rPr>
          <w:u w:val="single"/>
        </w:rPr>
        <w:t xml:space="preserve"> </w:t>
      </w:r>
      <w:r>
        <w:rPr>
          <w:u w:val="single"/>
        </w:rPr>
        <w:t xml:space="preserve"> </w:t>
      </w:r>
      <w:r>
        <w:rPr>
          <w:u w:val="single"/>
        </w:rPr>
        <w:t xml:space="preserve">an offense under Section 22.011, 22.04, 22.041, or 42.07, Penal Code;</w:t>
      </w:r>
    </w:p>
    <w:p w:rsidR="003F3435" w:rsidRDefault="0032493E">
      <w:pPr>
        <w:spacing w:line="480" w:lineRule="auto"/>
        <w:ind w:firstLine="2160"/>
        <w:jc w:val="both"/>
      </w:pPr>
      <w:r>
        <w:rPr>
          <w:u w:val="single"/>
        </w:rPr>
        <w:t xml:space="preserve">(B)</w:t>
      </w:r>
      <w:r>
        <w:rPr>
          <w:u w:val="single"/>
        </w:rPr>
        <w:t xml:space="preserve"> </w:t>
      </w:r>
      <w:r>
        <w:rPr>
          <w:u w:val="single"/>
        </w:rPr>
        <w:t xml:space="preserve"> </w:t>
      </w:r>
      <w:r>
        <w:rPr>
          <w:u w:val="single"/>
        </w:rPr>
        <w:t xml:space="preserve">an offense involving family violence as defined by Section 71.004, Family Code; or</w:t>
      </w:r>
    </w:p>
    <w:p w:rsidR="003F3435" w:rsidRDefault="0032493E">
      <w:pPr>
        <w:spacing w:line="480" w:lineRule="auto"/>
        <w:ind w:firstLine="2160"/>
        <w:jc w:val="both"/>
      </w:pPr>
      <w:r>
        <w:rPr>
          <w:u w:val="single"/>
        </w:rPr>
        <w:t xml:space="preserve">(C)</w:t>
      </w:r>
      <w:r>
        <w:rPr>
          <w:u w:val="single"/>
        </w:rPr>
        <w:t xml:space="preserve"> </w:t>
      </w:r>
      <w:r>
        <w:rPr>
          <w:u w:val="single"/>
        </w:rPr>
        <w:t xml:space="preserve"> </w:t>
      </w:r>
      <w:r>
        <w:rPr>
          <w:u w:val="single"/>
        </w:rPr>
        <w:t xml:space="preserve">other conduct in which evidence that would be embarrassing to the person may be offered.</w:t>
      </w:r>
    </w:p>
    <w:p w:rsidR="003F3435" w:rsidRDefault="0032493E">
      <w:pPr>
        <w:spacing w:line="480" w:lineRule="auto"/>
        <w:ind w:firstLine="720"/>
        <w:jc w:val="both"/>
      </w:pPr>
      <w:r>
        <w:rPr>
          <w:u w:val="single"/>
        </w:rPr>
        <w:t xml:space="preserve">(c)</w:t>
      </w:r>
      <w:r>
        <w:rPr>
          <w:u w:val="single"/>
        </w:rPr>
        <w:t xml:space="preserve"> </w:t>
      </w:r>
      <w:r>
        <w:rPr>
          <w:u w:val="single"/>
        </w:rPr>
        <w:t xml:space="preserve"> </w:t>
      </w:r>
      <w:r>
        <w:rPr>
          <w:u w:val="single"/>
        </w:rPr>
        <w:t xml:space="preserve">Videography may record a juror only on the juror's consent and may be used only after the juror has been discharged from jury duty.</w:t>
      </w:r>
    </w:p>
    <w:p w:rsidR="003F3435" w:rsidRDefault="0032493E">
      <w:pPr>
        <w:spacing w:line="480" w:lineRule="auto"/>
        <w:ind w:firstLine="720"/>
        <w:jc w:val="both"/>
      </w:pPr>
      <w:r>
        <w:rPr>
          <w:u w:val="single"/>
        </w:rPr>
        <w:t xml:space="preserve">(d)</w:t>
      </w:r>
      <w:r>
        <w:rPr>
          <w:u w:val="single"/>
        </w:rPr>
        <w:t xml:space="preserve"> </w:t>
      </w:r>
      <w:r>
        <w:rPr>
          <w:u w:val="single"/>
        </w:rPr>
        <w:t xml:space="preserve"> </w:t>
      </w:r>
      <w:r>
        <w:rPr>
          <w:u w:val="single"/>
        </w:rPr>
        <w:t xml:space="preserve">A victim or alleged victim described by Subsection (b)(3) may voluntarily authorize the use of videography in a court proceeding described by that subdivision. </w:t>
      </w:r>
      <w:r>
        <w:rPr>
          <w:u w:val="single"/>
        </w:rPr>
        <w:t xml:space="preserve"> </w:t>
      </w:r>
      <w:r>
        <w:rPr>
          <w:u w:val="single"/>
        </w:rPr>
        <w:t xml:space="preserve">The court shall notify the victim or alleged victim of the person's right to authorize the use of videography.</w:t>
      </w:r>
    </w:p>
    <w:p w:rsidR="003F3435" w:rsidRDefault="0032493E">
      <w:pPr>
        <w:spacing w:line="480" w:lineRule="auto"/>
        <w:ind w:firstLine="720"/>
        <w:jc w:val="both"/>
      </w:pPr>
      <w:r>
        <w:rPr>
          <w:u w:val="single"/>
        </w:rPr>
        <w:t xml:space="preserve">(e)</w:t>
      </w:r>
      <w:r>
        <w:rPr>
          <w:u w:val="single"/>
        </w:rPr>
        <w:t xml:space="preserve"> </w:t>
      </w:r>
      <w:r>
        <w:rPr>
          <w:u w:val="single"/>
        </w:rPr>
        <w:t xml:space="preserve"> </w:t>
      </w:r>
      <w:r>
        <w:rPr>
          <w:u w:val="single"/>
        </w:rPr>
        <w:t xml:space="preserve">Subsections (b)(2) and (3) may not be interpreted as restricting the admissibility of a recorded forensic interview or other prerecording as evidence in a court proceeding.</w:t>
      </w:r>
    </w:p>
    <w:p w:rsidR="003F3435" w:rsidRDefault="0032493E">
      <w:pPr>
        <w:spacing w:line="480" w:lineRule="auto"/>
        <w:ind w:firstLine="720"/>
        <w:jc w:val="both"/>
      </w:pPr>
      <w:r>
        <w:rPr>
          <w:u w:val="single"/>
        </w:rPr>
        <w:t xml:space="preserve">(f)</w:t>
      </w:r>
      <w:r>
        <w:rPr>
          <w:u w:val="single"/>
        </w:rPr>
        <w:t xml:space="preserve"> </w:t>
      </w:r>
      <w:r>
        <w:rPr>
          <w:u w:val="single"/>
        </w:rPr>
        <w:t xml:space="preserve"> </w:t>
      </w:r>
      <w:r>
        <w:rPr>
          <w:u w:val="single"/>
        </w:rPr>
        <w:t xml:space="preserve">This section does not prohibit the use of videography by court staff:</w:t>
      </w:r>
    </w:p>
    <w:p w:rsidR="003F3435" w:rsidRDefault="0032493E">
      <w:pPr>
        <w:spacing w:line="480" w:lineRule="auto"/>
        <w:ind w:firstLine="1440"/>
        <w:jc w:val="both"/>
      </w:pPr>
      <w:r>
        <w:rPr>
          <w:u w:val="single"/>
        </w:rPr>
        <w:t xml:space="preserve">(1)</w:t>
      </w:r>
      <w:r>
        <w:rPr>
          <w:u w:val="single"/>
        </w:rPr>
        <w:t xml:space="preserve"> </w:t>
      </w:r>
      <w:r>
        <w:rPr>
          <w:u w:val="single"/>
        </w:rPr>
        <w:t xml:space="preserve"> </w:t>
      </w:r>
      <w:r>
        <w:rPr>
          <w:u w:val="single"/>
        </w:rPr>
        <w:t xml:space="preserve">in a circumstance in which the court is not physically open and the use of videography is necessary to comply with the provision of Section 13, Article I, Texas Constitution, requiring all courts to be open; or</w:t>
      </w:r>
    </w:p>
    <w:p w:rsidR="003F3435" w:rsidRDefault="0032493E">
      <w:pPr>
        <w:spacing w:line="480" w:lineRule="auto"/>
        <w:ind w:firstLine="1440"/>
        <w:jc w:val="both"/>
      </w:pPr>
      <w:r>
        <w:rPr>
          <w:u w:val="single"/>
        </w:rPr>
        <w:t xml:space="preserve">(2)</w:t>
      </w:r>
      <w:r>
        <w:rPr>
          <w:u w:val="single"/>
        </w:rPr>
        <w:t xml:space="preserve"> </w:t>
      </w:r>
      <w:r>
        <w:rPr>
          <w:u w:val="single"/>
        </w:rPr>
        <w:t xml:space="preserve"> </w:t>
      </w:r>
      <w:r>
        <w:rPr>
          <w:u w:val="single"/>
        </w:rPr>
        <w:t xml:space="preserve">if the information recorded by videography is for court operations or security purposes and is confidential except to court staff.</w:t>
      </w:r>
    </w:p>
    <w:p w:rsidR="003F3435" w:rsidRDefault="0032493E">
      <w:pPr>
        <w:spacing w:line="480" w:lineRule="auto"/>
        <w:ind w:firstLine="720"/>
        <w:jc w:val="both"/>
      </w:pPr>
      <w:r>
        <w:t xml:space="preserve">SECTION</w:t>
      </w:r>
      <w:r xml:space="preserve">
        <w:t> </w:t>
      </w:r>
      <w:r>
        <w:t xml:space="preserve">2</w:t>
      </w:r>
      <w:r>
        <w:t xml:space="preserve">.</w:t>
      </w:r>
      <w:r xml:space="preserve">
        <w:t> </w:t>
      </w:r>
      <w:r xml:space="preserve">
        <w:t> </w:t>
      </w:r>
      <w:r>
        <w:t xml:space="preserve">The change in law made by Section 21.014, Government Code, as added by this Act, applies only to a court proceeding commenced on or after the effective date of this Act. </w:t>
      </w:r>
      <w:r>
        <w:t xml:space="preserve"> </w:t>
      </w:r>
      <w:r>
        <w:t xml:space="preserve">A court proceeding commenced before the effective date of this Act is governed by the law in effect on the date the proceeding was commenced, and the former law is continued in effect for that purpose.</w:t>
      </w:r>
    </w:p>
    <w:p w:rsidR="003F3435" w:rsidRDefault="0032493E">
      <w:pPr>
        <w:spacing w:line="480" w:lineRule="auto"/>
        <w:ind w:firstLine="720"/>
        <w:jc w:val="both"/>
      </w:pPr>
      <w:r>
        <w:t xml:space="preserve">SECTION</w:t>
      </w:r>
      <w:r xml:space="preserve">
        <w:t> </w:t>
      </w:r>
      <w:r>
        <w:t xml:space="preserve">3</w:t>
      </w:r>
      <w:r>
        <w:t xml:space="preserve">.</w:t>
      </w:r>
      <w:r xml:space="preserve">
        <w:t> </w:t>
      </w:r>
      <w:r xml:space="preserve">
        <w:t> </w:t>
      </w:r>
      <w:r>
        <w:t xml:space="preserve">This Act takes effect September 1, 2025.</w:t>
      </w:r>
    </w:p>
    <w:sectPr w:rsidRPr="004B75FD" w:rsidR="003F3435" w:rsidSect="003F3435">
      <w:headerReference w:type="default" r:id="rId8"/>
      <w:footerReference w:type="default" r:id="rId9"/>
      <w:headerReference w:type="first" r:id="rId10"/>
      <w:footerReference w:type="first" r:id="rId11"/>
      <w:pgSz w:w="12240" w:h="20160" w:code="5"/>
      <w:pgMar w:top="1440" w:right="1440" w:bottom="1080" w:left="1440" w:header="0" w:footer="144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38E" w:rsidRDefault="00A4038E">
      <w:r>
        <w:separator/>
      </w:r>
    </w:p>
  </w:endnote>
  <w:endnote w:type="continuationSeparator" w:id="0">
    <w:p w:rsidR="00A4038E" w:rsidRDefault="00A40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Page -</w:t>
    </w:r>
    <w:r w:rsidR="003F3435">
      <w:fldChar w:fldCharType="begin"/>
    </w:r>
    <w:r>
      <w:instrText xml:space="preserve"> PAGE </w:instrText>
    </w:r>
    <w:r w:rsidR="003F3435">
      <w:fldChar w:fldCharType="separate"/>
    </w:r>
    <w:r w:rsidR="00A84F78">
      <w:rPr>
        <w:noProof/>
      </w:rPr>
      <w:t>2</w:t>
    </w:r>
    <w:r w:rsidR="003F3435">
      <w:fldChar w:fldCharType="end"/>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 xml:space="preserve">Page - </w:t>
    </w:r>
    <w:r w:rsidR="003F3435">
      <w:fldChar w:fldCharType="begin"/>
    </w:r>
    <w:r>
      <w:instrText xml:space="preserve"> PAGE </w:instrText>
    </w:r>
    <w:r w:rsidR="003F3435">
      <w:fldChar w:fldCharType="separate"/>
    </w:r>
    <w:r w:rsidR="00A84F78">
      <w:rPr>
        <w:noProof/>
      </w:rPr>
      <w:t>1</w:t>
    </w:r>
    <w:r w:rsidR="003F3435">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38E" w:rsidRDefault="00A4038E">
      <w:r>
        <w:separator/>
      </w:r>
    </w:p>
  </w:footnote>
  <w:footnote w:type="continuationSeparator" w:id="0">
    <w:p w:rsidR="00A4038E" w:rsidRDefault="00A4038E">
      <w:r>
        <w:continuationSeparator/>
      </w:r>
    </w:p>
  </w:footnote>
</w:footnotes>
</file>

<file path=word/header1.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2493E">
    <w:pPr>
      <w:spacing w:line="240" w:lineRule="auto"/>
      <w:jc w:val="both"/>
      <w:tabs>
        <w:tab w:val="right" w:leader="none" w:pos="9350"/>
      </w:tabs>
    </w:pPr>
    <w:r xml:space="preserve">
      <w:tab wTab="150" tlc="none" cTlc="0"/>
    </w:r>
    <w:r>
      <w:t xml:space="preserve">C.S.H.B.</w:t>
    </w:r>
    <w:r xml:space="preserve">
      <w:t> </w:t>
    </w:r>
    <w:r>
      <w:t xml:space="preserve">No.</w:t>
    </w:r>
    <w:r xml:space="preserve">
      <w:t> </w:t>
    </w:r>
    <w:r>
      <w:t xml:space="preserve">4139</w:t>
    </w:r>
  </w:p>
</w:hdr>
</file>

<file path=word/header2.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SingleBorderforContiguousCells/>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3F3435"/>
    <w:rsid w:val="000C687B"/>
    <w:rsid w:val="002F7BA8"/>
    <w:rsid w:val="0032493E"/>
    <w:rsid w:val="0037454E"/>
    <w:rsid w:val="003F3435"/>
    <w:rsid w:val="00466BFE"/>
    <w:rsid w:val="004E5B79"/>
    <w:rsid w:val="007F5228"/>
    <w:rsid w:val="008A75EB"/>
    <w:rsid w:val="00A4038E"/>
    <w:rsid w:val="00A84F78"/>
    <w:rsid w:val="00FA7F00"/>
  </w:rsids>
  <m:mathPr>
    <m:mathFont m:val="Cambria Math"/>
    <m:brkBin m:val="before"/>
    <m:brkBinSub m:val="--"/>
    <m:smallFrac m:val="0"/>
    <m:dispDef/>
    <m:lMargin m:val="0"/>
    <m:rMargin m:val="0"/>
    <m:defJc m:val="centerGroup"/>
    <m:wrapIndent m:val="1440"/>
    <m:intLim m:val="subSup"/>
    <m:naryLim m:val="undOvr"/>
  </m:mathPr>
  <w:attachedSchema w:val="http://www.w3.org/2001/XMLSchema-instance"/>
  <w:attachedSchema w:val="urn::tlc.state.tx.us.salsa.legdoc"/>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1F149-FB89-4C68-ACE2-25068F986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380</Words>
  <Characters>2169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Texas Legislative Council</Company>
  <LinksUpToDate>false</LinksUpToDate>
  <CharactersWithSpaces>2544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salsap</dc:creator>
  <cp:lastModifiedBy>SALSA</cp:lastModifiedBy>
  <cp:revision>2</cp:revision>
  <cp:lastPrinted>2015-11-03T17:46:00Z</cp:lastPrinted>
  <dcterms:created xsi:type="dcterms:W3CDTF">2015-11-04T19:55:00Z</dcterms:created>
  <dcterms:modified xsi:type="dcterms:W3CDTF">2015-11-04T19:55:00Z</dcterms:modified>
</cp:coreProperties>
</file>