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89R14531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Bonnen, Bucy</w:t>
      </w:r>
      <w:r xml:space="preserve">
        <w:tab wTab="150" tlc="none" cTlc="0"/>
      </w:r>
      <w:r>
        <w:t xml:space="preserve">H.B.</w:t>
      </w:r>
      <w:r xml:space="preserve">
        <w:t> </w:t>
      </w:r>
      <w:r>
        <w:t xml:space="preserve">No.</w:t>
      </w:r>
      <w:r xml:space="preserve">
        <w:t> </w:t>
      </w:r>
      <w:r>
        <w:t xml:space="preserve">4743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issuance of a single license for a hospital and a mobile stroke unit of the hospital.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241.023, Health and Safety Code, is amended by amending Subsections (c-1) and (c-2) and adding Subsection (h) to read as follows:</w:t>
      </w:r>
    </w:p>
    <w:p w:rsidR="003F3435" w:rsidRDefault="0032493E">
      <w:pPr>
        <w:spacing w:line="480" w:lineRule="auto"/>
        <w:ind w:firstLine="720"/>
        <w:jc w:val="both"/>
      </w:pPr>
      <w:r>
        <w:t xml:space="preserve">(c-1)</w:t>
      </w:r>
      <w:r xml:space="preserve">
        <w:t> </w:t>
      </w:r>
      <w:r xml:space="preserve">
        <w:t> </w:t>
      </w:r>
      <w:r>
        <w:t xml:space="preserve">The department may issue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one license for multiple hospitals if:</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all buildings in which inpatients receive hospital services and inpatient services of each of the hospitals to be included in the license are subject to the control and direction of the same governing body;</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all buildings in which inpatients receive hospital services are within a 30-mile radius of the main address of the applicant;</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there is integration of the organized medical staff of each of the hospitals to be included in the license;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there is a single chief executive officer for all of the hospitals who reports directly to the governing body and through whom all administrative authority flows and who exercises control and surveillance over all administrative activities of the hospital;</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there is a single chief medical officer for all of the hospitals who reports directly to the governing body and who is responsible for all medical staff activities of the hospital;</w:t>
      </w:r>
    </w:p>
    <w:p w:rsidR="003F3435" w:rsidRDefault="0032493E">
      <w:pPr>
        <w:spacing w:line="480" w:lineRule="auto"/>
        <w:ind w:firstLine="2160"/>
        <w:jc w:val="both"/>
      </w:pPr>
      <w:r>
        <w:rPr>
          <w:u w:val="single"/>
        </w:rPr>
        <w:t xml:space="preserve">(F)</w:t>
      </w:r>
      <w:r xml:space="preserve">
        <w:t> </w:t>
      </w:r>
      <w:r>
        <w:t xml:space="preserve">[</w:t>
      </w:r>
      <w:r>
        <w:rPr>
          <w:strike/>
        </w:rPr>
        <w:t xml:space="preserve">(6)</w:t>
      </w:r>
      <w:r>
        <w:t xml:space="preserve">]</w:t>
      </w:r>
      <w:r xml:space="preserve">
        <w:t> </w:t>
      </w:r>
      <w:r xml:space="preserve">
        <w:t> </w:t>
      </w:r>
      <w:r>
        <w:t xml:space="preserve">each building of a hospital to be included in the license that is geographically separate from other buildings of the same hospital contains at least one nursing unit for inpatients, unless providing only diagnostic or laboratory services, or a combination of diagnostic or laboratory services, in the building for hospital inpatients; and</w:t>
      </w:r>
    </w:p>
    <w:p w:rsidR="003F3435" w:rsidRDefault="0032493E">
      <w:pPr>
        <w:spacing w:line="480" w:lineRule="auto"/>
        <w:ind w:firstLine="2160"/>
        <w:jc w:val="both"/>
      </w:pPr>
      <w:r>
        <w:rPr>
          <w:u w:val="single"/>
        </w:rPr>
        <w:t xml:space="preserve">(G)</w:t>
      </w:r>
      <w:r xml:space="preserve">
        <w:t> </w:t>
      </w:r>
      <w:r>
        <w:t xml:space="preserve">[</w:t>
      </w:r>
      <w:r>
        <w:rPr>
          <w:strike/>
        </w:rPr>
        <w:t xml:space="preserve">(7)</w:t>
      </w:r>
      <w:r>
        <w:t xml:space="preserve">]</w:t>
      </w:r>
      <w:r xml:space="preserve">
        <w:t> </w:t>
      </w:r>
      <w:r xml:space="preserve">
        <w:t> </w:t>
      </w:r>
      <w:r>
        <w:t xml:space="preserve">each hospital that is to be included in the license complies with the emergency services standards:</w:t>
      </w:r>
    </w:p>
    <w:p w:rsidR="003F3435" w:rsidRDefault="0032493E">
      <w:pPr>
        <w:spacing w:line="480" w:lineRule="auto"/>
        <w:ind w:firstLine="2880"/>
        <w:jc w:val="both"/>
      </w:pPr>
      <w:r>
        <w:rPr>
          <w:u w:val="single"/>
        </w:rPr>
        <w:t xml:space="preserve">(i)</w:t>
      </w:r>
      <w:r xml:space="preserve">
        <w:t> </w:t>
      </w:r>
      <w:r>
        <w:t xml:space="preserve">[</w:t>
      </w:r>
      <w:r>
        <w:rPr>
          <w:strike/>
        </w:rPr>
        <w:t xml:space="preserve">(A)</w:t>
      </w:r>
      <w:r>
        <w:t xml:space="preserve">]</w:t>
      </w:r>
      <w:r xml:space="preserve">
        <w:t> </w:t>
      </w:r>
      <w:r xml:space="preserve">
        <w:t> </w:t>
      </w:r>
      <w:r>
        <w:t xml:space="preserve">for a general hospital, if the hospital provides surgery or obstetrical care or both; or</w:t>
      </w:r>
    </w:p>
    <w:p w:rsidR="003F3435" w:rsidRDefault="0032493E">
      <w:pPr>
        <w:spacing w:line="480" w:lineRule="auto"/>
        <w:ind w:firstLine="2880"/>
        <w:jc w:val="both"/>
      </w:pPr>
      <w:r>
        <w:rPr>
          <w:u w:val="single"/>
        </w:rPr>
        <w:t xml:space="preserve">(ii)</w:t>
      </w:r>
      <w:r xml:space="preserve">
        <w:t> </w:t>
      </w:r>
      <w:r>
        <w:t xml:space="preserve">[</w:t>
      </w:r>
      <w:r>
        <w:rPr>
          <w:strike/>
        </w:rPr>
        <w:t xml:space="preserve">(B)</w:t>
      </w:r>
      <w:r>
        <w:t xml:space="preserve">]</w:t>
      </w:r>
      <w:r xml:space="preserve">
        <w:t> </w:t>
      </w:r>
      <w:r xml:space="preserve">
        <w:t> </w:t>
      </w:r>
      <w:r>
        <w:t xml:space="preserve">for a special hospital, if the hospital does not provide surgery or obstetrical care</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license for a hospital and a mobile stroke unit of the hospital if the mobile stroke unit is accredited by a health care accreditation organization approved by the Centers for Medicare and Medicaid Services</w:t>
      </w:r>
      <w:r>
        <w:t xml:space="preserve">.</w:t>
      </w:r>
    </w:p>
    <w:p w:rsidR="003F3435" w:rsidRDefault="0032493E">
      <w:pPr>
        <w:spacing w:line="480" w:lineRule="auto"/>
        <w:ind w:firstLine="720"/>
        <w:jc w:val="both"/>
      </w:pPr>
      <w:r>
        <w:t xml:space="preserve">(c-2)</w:t>
      </w:r>
      <w:r xml:space="preserve">
        <w:t> </w:t>
      </w:r>
      <w:r xml:space="preserve">
        <w:t> </w:t>
      </w:r>
      <w:r>
        <w:t xml:space="preserve">The department may recommend a waiver of the requirement of Subsection </w:t>
      </w:r>
      <w:r>
        <w:rPr>
          <w:u w:val="single"/>
        </w:rPr>
        <w:t xml:space="preserve">(c-1)(1)(G)</w:t>
      </w:r>
      <w:r>
        <w:t xml:space="preserve"> [</w:t>
      </w:r>
      <w:r>
        <w:rPr>
          <w:strike/>
        </w:rPr>
        <w:t xml:space="preserve">(c-1)(7)</w:t>
      </w:r>
      <w:r>
        <w:t xml:space="preserve">] for a hospital if another hospital that is to be included in the license:</w:t>
      </w:r>
    </w:p>
    <w:p w:rsidR="003F3435" w:rsidRDefault="0032493E">
      <w:pPr>
        <w:spacing w:line="480" w:lineRule="auto"/>
        <w:ind w:firstLine="1440"/>
        <w:jc w:val="both"/>
      </w:pPr>
      <w:r>
        <w:t xml:space="preserve">(1)</w:t>
      </w:r>
      <w:r xml:space="preserve">
        <w:t> </w:t>
      </w:r>
      <w:r xml:space="preserve">
        <w:t> </w:t>
      </w:r>
      <w:r>
        <w:t xml:space="preserve">complies with the emergency services standards for a general hospital; and</w:t>
      </w:r>
    </w:p>
    <w:p w:rsidR="003F3435" w:rsidRDefault="0032493E">
      <w:pPr>
        <w:spacing w:line="480" w:lineRule="auto"/>
        <w:ind w:firstLine="1440"/>
        <w:jc w:val="both"/>
      </w:pPr>
      <w:r>
        <w:t xml:space="preserve">(2)</w:t>
      </w:r>
      <w:r xml:space="preserve">
        <w:t> </w:t>
      </w:r>
      <w:r xml:space="preserve">
        <w:t> </w:t>
      </w:r>
      <w:r>
        <w:t xml:space="preserve">is in close geographic proximity to the hospital.</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Subsection (g) does not apply to a license issued to a mobile stroke unit of a hospital under Subsection (c-1)(2).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executive commissioner of the Health and Human Services Commission shall adopt rules necessary to implement Section 241.023(c-1), Health and Safety Code, as amended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4743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