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Hinojosa of Nueces, et al.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1706</w:t>
      </w:r>
    </w:p>
    <w:p w:rsidR="003F3435" w:rsidRDefault="0032493E">
      <w:pPr>
        <w:ind w:firstLine="720"/>
        <w:jc w:val="both"/>
      </w:pPr>
      <w:r>
        <w:t xml:space="preserve">(Ordaz, Bonnen, Paul, Lopez of Cameron, Capriglione, et al.)</w:t>
      </w:r>
    </w:p>
    <w:p w:rsidR="003F3435" w:rsidRDefault="003F3435"/>
    <w:p w:rsidR="003F3435" w:rsidRDefault="0032493E">
      <w:pPr>
        <w:spacing w:before="240"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authority of the governing board of a state governmental body to conduct a closed meeting to deliberate an issue involving certain defense, military, or aerospace issues.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D, Chapter 551, Government Code, is amended by adding Section 551.092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551.092.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STATE GOVERNMENTAL BODIES: DEFENSE, MILITARY, AND AEROSPACE ISSUES; CLOSED MEETING.  (a)  In this section, "defense, military, or aerospace issue" means a matter related to: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establishment of an office, base, or major facility in this state by the United States Department of Defense or the National Aeronautics and Space Administration;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economic incentive a governmental body may offer to a private entity or nonprofit organization to meet a match requirement or other requirement established by the United States Department of Defense or the National Aeronautics and Space Administration in relation to grants or strategic endeavors.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governing board of a governmental body described by Section 551.001(3)(A) may conduct a closed meeting to deliberate a defense, military, or aerospace issue.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1706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