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5001C" w14:paraId="2C6B3065" w14:textId="77777777" w:rsidTr="00345119">
        <w:tc>
          <w:tcPr>
            <w:tcW w:w="9576" w:type="dxa"/>
            <w:noWrap/>
          </w:tcPr>
          <w:p w14:paraId="0E2B410C" w14:textId="77777777" w:rsidR="008423E4" w:rsidRPr="0022177D" w:rsidRDefault="00031DE1" w:rsidP="00D31A2E">
            <w:pPr>
              <w:pStyle w:val="Heading1"/>
            </w:pPr>
            <w:r w:rsidRPr="00631897">
              <w:t>BILL ANALYSIS</w:t>
            </w:r>
          </w:p>
        </w:tc>
      </w:tr>
    </w:tbl>
    <w:p w14:paraId="272C4DA9" w14:textId="77777777" w:rsidR="008423E4" w:rsidRPr="00721E64" w:rsidRDefault="008423E4" w:rsidP="00D31A2E">
      <w:pPr>
        <w:jc w:val="center"/>
        <w:rPr>
          <w:sz w:val="26"/>
          <w:szCs w:val="26"/>
        </w:rPr>
      </w:pPr>
    </w:p>
    <w:p w14:paraId="69AC245C" w14:textId="77777777" w:rsidR="008423E4" w:rsidRPr="00B31F0E" w:rsidRDefault="008423E4" w:rsidP="00D31A2E"/>
    <w:p w14:paraId="0BFBC0B5" w14:textId="77777777" w:rsidR="008423E4" w:rsidRPr="00742794" w:rsidRDefault="008423E4" w:rsidP="00D31A2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5001C" w14:paraId="656905B3" w14:textId="77777777" w:rsidTr="00345119">
        <w:tc>
          <w:tcPr>
            <w:tcW w:w="9576" w:type="dxa"/>
          </w:tcPr>
          <w:p w14:paraId="541C86B7" w14:textId="455A0DFA" w:rsidR="008423E4" w:rsidRPr="00861995" w:rsidRDefault="00031DE1" w:rsidP="00D31A2E">
            <w:pPr>
              <w:jc w:val="right"/>
            </w:pPr>
            <w:r>
              <w:t>H.B. 2876</w:t>
            </w:r>
          </w:p>
        </w:tc>
      </w:tr>
      <w:tr w:rsidR="00D5001C" w14:paraId="449AE1E4" w14:textId="77777777" w:rsidTr="00345119">
        <w:tc>
          <w:tcPr>
            <w:tcW w:w="9576" w:type="dxa"/>
          </w:tcPr>
          <w:p w14:paraId="090CA176" w14:textId="4E2B1A5B" w:rsidR="008423E4" w:rsidRPr="00861995" w:rsidRDefault="00031DE1" w:rsidP="00D31A2E">
            <w:pPr>
              <w:jc w:val="right"/>
            </w:pPr>
            <w:r>
              <w:t xml:space="preserve">By: </w:t>
            </w:r>
            <w:r w:rsidR="00513464">
              <w:t>Gerdes</w:t>
            </w:r>
          </w:p>
        </w:tc>
      </w:tr>
      <w:tr w:rsidR="00D5001C" w14:paraId="0A53F141" w14:textId="77777777" w:rsidTr="00345119">
        <w:tc>
          <w:tcPr>
            <w:tcW w:w="9576" w:type="dxa"/>
          </w:tcPr>
          <w:p w14:paraId="04D8C03F" w14:textId="796E2AFC" w:rsidR="008423E4" w:rsidRPr="00861995" w:rsidRDefault="00031DE1" w:rsidP="00D31A2E">
            <w:pPr>
              <w:jc w:val="right"/>
            </w:pPr>
            <w:r>
              <w:t>Transportation</w:t>
            </w:r>
          </w:p>
        </w:tc>
      </w:tr>
      <w:tr w:rsidR="00D5001C" w14:paraId="2AFDA817" w14:textId="77777777" w:rsidTr="00345119">
        <w:tc>
          <w:tcPr>
            <w:tcW w:w="9576" w:type="dxa"/>
          </w:tcPr>
          <w:p w14:paraId="515AFF36" w14:textId="7B88318C" w:rsidR="008423E4" w:rsidRDefault="00031DE1" w:rsidP="00D31A2E">
            <w:pPr>
              <w:jc w:val="right"/>
            </w:pPr>
            <w:r>
              <w:t>Committee Report (Unamended)</w:t>
            </w:r>
          </w:p>
        </w:tc>
      </w:tr>
    </w:tbl>
    <w:p w14:paraId="60263C4A" w14:textId="77777777" w:rsidR="008423E4" w:rsidRPr="00721E64" w:rsidRDefault="008423E4" w:rsidP="00D31A2E">
      <w:pPr>
        <w:tabs>
          <w:tab w:val="right" w:pos="9360"/>
        </w:tabs>
        <w:rPr>
          <w:sz w:val="26"/>
          <w:szCs w:val="26"/>
        </w:rPr>
      </w:pPr>
    </w:p>
    <w:p w14:paraId="35E3DD17" w14:textId="77777777" w:rsidR="008423E4" w:rsidRPr="00721E64" w:rsidRDefault="008423E4" w:rsidP="00D31A2E">
      <w:pPr>
        <w:rPr>
          <w:sz w:val="26"/>
          <w:szCs w:val="26"/>
        </w:rPr>
      </w:pPr>
    </w:p>
    <w:p w14:paraId="01A59F04" w14:textId="77777777" w:rsidR="008423E4" w:rsidRPr="00721E64" w:rsidRDefault="008423E4" w:rsidP="00D31A2E">
      <w:pPr>
        <w:rPr>
          <w:sz w:val="26"/>
          <w:szCs w:val="26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5001C" w14:paraId="0B9D5250" w14:textId="77777777" w:rsidTr="00345119">
        <w:tc>
          <w:tcPr>
            <w:tcW w:w="9576" w:type="dxa"/>
          </w:tcPr>
          <w:p w14:paraId="49D1FFE5" w14:textId="77777777" w:rsidR="008423E4" w:rsidRPr="00A8133F" w:rsidRDefault="00031DE1" w:rsidP="00D31A2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852CAD0" w14:textId="77777777" w:rsidR="008423E4" w:rsidRDefault="008423E4" w:rsidP="00D31A2E"/>
          <w:p w14:paraId="16988384" w14:textId="75C6BE07" w:rsidR="00B46AA9" w:rsidRDefault="00031DE1" w:rsidP="00D31A2E">
            <w:pPr>
              <w:pStyle w:val="Header"/>
              <w:jc w:val="both"/>
            </w:pPr>
            <w:r>
              <w:t xml:space="preserve">The bill author has informed the committee that </w:t>
            </w:r>
            <w:r w:rsidR="00803874">
              <w:t xml:space="preserve">many local and regional stakeholders </w:t>
            </w:r>
            <w:r>
              <w:t>in</w:t>
            </w:r>
            <w:r w:rsidR="006555AF">
              <w:t xml:space="preserve"> the</w:t>
            </w:r>
            <w:r>
              <w:t xml:space="preserve"> Caldwell County </w:t>
            </w:r>
            <w:r w:rsidR="00803874">
              <w:t xml:space="preserve">region </w:t>
            </w:r>
            <w:r>
              <w:t xml:space="preserve">have expressed the </w:t>
            </w:r>
            <w:r>
              <w:t>need for significant transportation improvements in the area surrounding State H</w:t>
            </w:r>
            <w:r w:rsidR="00176750">
              <w:t>ighway</w:t>
            </w:r>
            <w:r>
              <w:t xml:space="preserve"> 130 and in the connectivity between</w:t>
            </w:r>
            <w:r w:rsidR="00803874">
              <w:t xml:space="preserve"> that highway and</w:t>
            </w:r>
            <w:r>
              <w:t xml:space="preserve"> I</w:t>
            </w:r>
            <w:r w:rsidR="00176750">
              <w:t xml:space="preserve">nterstate Highway </w:t>
            </w:r>
            <w:r>
              <w:t xml:space="preserve">35 without adding additional toll roads. </w:t>
            </w:r>
            <w:r w:rsidR="00176750">
              <w:t>The bill author has also informed the committee that the state is</w:t>
            </w:r>
            <w:r>
              <w:t xml:space="preserve"> underfunding transportation infrastructure</w:t>
            </w:r>
            <w:r w:rsidR="00176750">
              <w:t xml:space="preserve">, </w:t>
            </w:r>
            <w:r w:rsidR="00C80678">
              <w:t xml:space="preserve">that </w:t>
            </w:r>
            <w:r w:rsidR="00176750">
              <w:t>infrastructure</w:t>
            </w:r>
            <w:r>
              <w:t xml:space="preserve"> investment will require additional efforts from others to meet the</w:t>
            </w:r>
            <w:r w:rsidR="00176750">
              <w:t xml:space="preserve"> state's growing needs, and </w:t>
            </w:r>
            <w:r w:rsidR="00C80678">
              <w:t xml:space="preserve">that </w:t>
            </w:r>
            <w:r w:rsidR="00176750">
              <w:t>the state</w:t>
            </w:r>
            <w:r>
              <w:t xml:space="preserve"> needs innovative funding solutions to solve its infrastructure investment</w:t>
            </w:r>
            <w:r>
              <w:t xml:space="preserve"> challenges</w:t>
            </w:r>
            <w:r w:rsidR="00C80678">
              <w:t xml:space="preserve">. </w:t>
            </w:r>
            <w:r>
              <w:t>H</w:t>
            </w:r>
            <w:r w:rsidR="002309B8">
              <w:t>.</w:t>
            </w:r>
            <w:r>
              <w:t>B</w:t>
            </w:r>
            <w:r w:rsidR="002309B8">
              <w:t>.</w:t>
            </w:r>
            <w:r>
              <w:t xml:space="preserve"> 2876</w:t>
            </w:r>
            <w:r w:rsidR="002309B8">
              <w:t xml:space="preserve"> seeks to</w:t>
            </w:r>
            <w:r>
              <w:t xml:space="preserve"> address this </w:t>
            </w:r>
            <w:r w:rsidR="00C80678">
              <w:t xml:space="preserve">issue </w:t>
            </w:r>
            <w:r>
              <w:t xml:space="preserve">with no cost or liability to taxpayers </w:t>
            </w:r>
            <w:r w:rsidR="002309B8">
              <w:t xml:space="preserve">by </w:t>
            </w:r>
            <w:r w:rsidR="00803874">
              <w:t>modifying certain public-private partnerships in the region</w:t>
            </w:r>
            <w:r w:rsidR="002309B8">
              <w:t xml:space="preserve">. </w:t>
            </w:r>
          </w:p>
          <w:p w14:paraId="6CD03C11" w14:textId="77777777" w:rsidR="008423E4" w:rsidRPr="00E26B13" w:rsidRDefault="008423E4" w:rsidP="00D31A2E">
            <w:pPr>
              <w:rPr>
                <w:b/>
              </w:rPr>
            </w:pPr>
          </w:p>
        </w:tc>
      </w:tr>
      <w:tr w:rsidR="00D5001C" w14:paraId="02C28620" w14:textId="77777777" w:rsidTr="00345119">
        <w:tc>
          <w:tcPr>
            <w:tcW w:w="9576" w:type="dxa"/>
          </w:tcPr>
          <w:p w14:paraId="2D6B7D89" w14:textId="77777777" w:rsidR="0017725B" w:rsidRDefault="00031DE1" w:rsidP="00D31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FBBCCA3" w14:textId="77777777" w:rsidR="0017725B" w:rsidRDefault="0017725B" w:rsidP="00D31A2E">
            <w:pPr>
              <w:rPr>
                <w:b/>
                <w:u w:val="single"/>
              </w:rPr>
            </w:pPr>
          </w:p>
          <w:p w14:paraId="7AD22F30" w14:textId="6C69319B" w:rsidR="00772062" w:rsidRPr="00772062" w:rsidRDefault="00031DE1" w:rsidP="00D31A2E">
            <w:pPr>
              <w:jc w:val="both"/>
            </w:pPr>
            <w:r>
              <w:t xml:space="preserve">It is the committee's opinion that this bill does not expressly </w:t>
            </w:r>
            <w:r>
              <w:t>create a criminal offense, increase the punishment for an existing criminal offense or category of offenses, or change the eligibility of a person for community supervision, parole, or mandatory supervision.</w:t>
            </w:r>
          </w:p>
          <w:p w14:paraId="2CACF868" w14:textId="77777777" w:rsidR="0017725B" w:rsidRPr="0017725B" w:rsidRDefault="0017725B" w:rsidP="00D31A2E">
            <w:pPr>
              <w:rPr>
                <w:b/>
                <w:u w:val="single"/>
              </w:rPr>
            </w:pPr>
          </w:p>
        </w:tc>
      </w:tr>
      <w:tr w:rsidR="00D5001C" w14:paraId="6A920982" w14:textId="77777777" w:rsidTr="00345119">
        <w:tc>
          <w:tcPr>
            <w:tcW w:w="9576" w:type="dxa"/>
          </w:tcPr>
          <w:p w14:paraId="7BA03304" w14:textId="77777777" w:rsidR="008423E4" w:rsidRPr="00A8133F" w:rsidRDefault="00031DE1" w:rsidP="00D31A2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BD225E7" w14:textId="77777777" w:rsidR="008423E4" w:rsidRDefault="008423E4" w:rsidP="00D31A2E"/>
          <w:p w14:paraId="10E04655" w14:textId="06F6E3AE" w:rsidR="00772062" w:rsidRDefault="00031DE1" w:rsidP="00D31A2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FF7A56C" w14:textId="77777777" w:rsidR="008423E4" w:rsidRPr="00E21FDC" w:rsidRDefault="008423E4" w:rsidP="00D31A2E">
            <w:pPr>
              <w:rPr>
                <w:b/>
              </w:rPr>
            </w:pPr>
          </w:p>
        </w:tc>
      </w:tr>
      <w:tr w:rsidR="00D5001C" w14:paraId="36A38D15" w14:textId="77777777" w:rsidTr="00345119">
        <w:tc>
          <w:tcPr>
            <w:tcW w:w="9576" w:type="dxa"/>
          </w:tcPr>
          <w:p w14:paraId="7F83A1EE" w14:textId="77777777" w:rsidR="008423E4" w:rsidRPr="00A8133F" w:rsidRDefault="00031DE1" w:rsidP="00D31A2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7E82244" w14:textId="77777777" w:rsidR="008423E4" w:rsidRDefault="008423E4" w:rsidP="00D31A2E"/>
          <w:p w14:paraId="2AC1586A" w14:textId="6F7C44D2" w:rsidR="0060474D" w:rsidRDefault="00031DE1" w:rsidP="00D31A2E">
            <w:pPr>
              <w:pStyle w:val="Header"/>
              <w:jc w:val="both"/>
            </w:pPr>
            <w:r>
              <w:t xml:space="preserve">H.B. </w:t>
            </w:r>
            <w:r w:rsidR="0037604F">
              <w:t>2876</w:t>
            </w:r>
            <w:r w:rsidR="00880A7E">
              <w:t xml:space="preserve"> amends the Transportation Code to require the Texas Department of Transportation (TxDOT) to amend a comprehensive development agreement entered into on or before March</w:t>
            </w:r>
            <w:r w:rsidR="008B15F8">
              <w:t> </w:t>
            </w:r>
            <w:r w:rsidR="00880A7E">
              <w:t>22, 2007, for State Highway 130 from U.S. Highway 183 to Interstate Highway 10 (Segments 5 and 6) to extend the term of the agreement for up to 20 additional years</w:t>
            </w:r>
            <w:r w:rsidR="00923E25">
              <w:t xml:space="preserve"> if</w:t>
            </w:r>
            <w:r w:rsidR="00BD1234">
              <w:t xml:space="preserve"> </w:t>
            </w:r>
            <w:r w:rsidR="007638C7">
              <w:t xml:space="preserve">the </w:t>
            </w:r>
            <w:r w:rsidR="00880A7E">
              <w:t>amendment</w:t>
            </w:r>
            <w:r w:rsidR="00923E25">
              <w:t xml:space="preserve"> does the following</w:t>
            </w:r>
            <w:r>
              <w:t>:</w:t>
            </w:r>
          </w:p>
          <w:p w14:paraId="5B055272" w14:textId="7E0B3477" w:rsidR="0060474D" w:rsidRDefault="00031DE1" w:rsidP="00D31A2E">
            <w:pPr>
              <w:pStyle w:val="Header"/>
              <w:numPr>
                <w:ilvl w:val="0"/>
                <w:numId w:val="1"/>
              </w:numPr>
              <w:jc w:val="both"/>
            </w:pPr>
            <w:r>
              <w:t>o</w:t>
            </w:r>
            <w:r w:rsidR="00880A7E">
              <w:t>utlin</w:t>
            </w:r>
            <w:r w:rsidR="00BD1234">
              <w:t>e</w:t>
            </w:r>
            <w:r w:rsidR="00923E25">
              <w:t>s</w:t>
            </w:r>
            <w:r w:rsidR="00880A7E">
              <w:t xml:space="preserve"> the </w:t>
            </w:r>
            <w:r w:rsidR="0037604F">
              <w:t xml:space="preserve">public </w:t>
            </w:r>
            <w:r w:rsidR="00880A7E">
              <w:t xml:space="preserve">benefit </w:t>
            </w:r>
            <w:r w:rsidR="0037604F">
              <w:t>to be</w:t>
            </w:r>
            <w:r w:rsidR="00880A7E">
              <w:t xml:space="preserve"> derive</w:t>
            </w:r>
            <w:r w:rsidR="0037604F">
              <w:t>d</w:t>
            </w:r>
            <w:r w:rsidR="00880A7E">
              <w:t xml:space="preserve"> from extending the term</w:t>
            </w:r>
            <w:r>
              <w:t>;</w:t>
            </w:r>
            <w:r w:rsidR="00880A7E">
              <w:t xml:space="preserve"> and</w:t>
            </w:r>
            <w:r>
              <w:t xml:space="preserve"> </w:t>
            </w:r>
          </w:p>
          <w:p w14:paraId="548B329B" w14:textId="7A4A6945" w:rsidR="0060474D" w:rsidRDefault="00031DE1" w:rsidP="00D31A2E">
            <w:pPr>
              <w:pStyle w:val="Header"/>
              <w:numPr>
                <w:ilvl w:val="0"/>
                <w:numId w:val="1"/>
              </w:numPr>
              <w:jc w:val="both"/>
            </w:pPr>
            <w:r>
              <w:t>r</w:t>
            </w:r>
            <w:r w:rsidR="00880A7E">
              <w:t>equir</w:t>
            </w:r>
            <w:r w:rsidR="00BD1234">
              <w:t>e</w:t>
            </w:r>
            <w:r w:rsidR="00923E25">
              <w:t>s</w:t>
            </w:r>
            <w:r w:rsidR="00880A7E">
              <w:t xml:space="preserve"> the private participant to provide </w:t>
            </w:r>
            <w:r w:rsidR="0037604F">
              <w:t>consideration in</w:t>
            </w:r>
            <w:r w:rsidR="00880A7E">
              <w:t xml:space="preserve"> </w:t>
            </w:r>
            <w:r w:rsidR="0037604F">
              <w:t>the</w:t>
            </w:r>
            <w:r w:rsidR="00880A7E">
              <w:t xml:space="preserve"> </w:t>
            </w:r>
            <w:r w:rsidR="009877E8">
              <w:t xml:space="preserve">manner or </w:t>
            </w:r>
            <w:r w:rsidR="00880A7E">
              <w:t xml:space="preserve">amount agreed to by </w:t>
            </w:r>
            <w:r w:rsidR="00880A7E" w:rsidRPr="00880A7E">
              <w:t>TxDOT</w:t>
            </w:r>
            <w:r w:rsidR="00880A7E">
              <w:t xml:space="preserve"> and</w:t>
            </w:r>
            <w:r w:rsidR="00772062">
              <w:t xml:space="preserve"> </w:t>
            </w:r>
            <w:r w:rsidR="00207DBE">
              <w:t>the</w:t>
            </w:r>
            <w:r w:rsidR="000C69C6">
              <w:t xml:space="preserve"> </w:t>
            </w:r>
            <w:r w:rsidR="00880A7E">
              <w:t>participant in accordance with the requirements of the amendment.</w:t>
            </w:r>
            <w:r>
              <w:t xml:space="preserve"> </w:t>
            </w:r>
          </w:p>
          <w:p w14:paraId="5C640004" w14:textId="78036347" w:rsidR="008423E4" w:rsidRDefault="00031DE1" w:rsidP="00D31A2E">
            <w:pPr>
              <w:pStyle w:val="Header"/>
              <w:jc w:val="both"/>
            </w:pPr>
            <w:r w:rsidRPr="00F53C7A">
              <w:t xml:space="preserve">The </w:t>
            </w:r>
            <w:r>
              <w:t xml:space="preserve">bill requires </w:t>
            </w:r>
            <w:r w:rsidR="0037604F">
              <w:t>any</w:t>
            </w:r>
            <w:r>
              <w:t xml:space="preserve"> </w:t>
            </w:r>
            <w:r w:rsidRPr="00F53C7A">
              <w:t xml:space="preserve">funds received </w:t>
            </w:r>
            <w:r>
              <w:t>from the private participant to</w:t>
            </w:r>
            <w:r w:rsidRPr="00F53C7A">
              <w:t xml:space="preserve"> be used by </w:t>
            </w:r>
            <w:r>
              <w:t>TxDOT</w:t>
            </w:r>
            <w:r w:rsidRPr="00F53C7A">
              <w:t xml:space="preserve">, or on behalf of </w:t>
            </w:r>
            <w:r>
              <w:t>TxDOT</w:t>
            </w:r>
            <w:r w:rsidRPr="00F53C7A">
              <w:t xml:space="preserve"> using </w:t>
            </w:r>
            <w:r>
              <w:t>TxDOT</w:t>
            </w:r>
            <w:r w:rsidRPr="00F53C7A">
              <w:t xml:space="preserve">'s procurement </w:t>
            </w:r>
            <w:r w:rsidRPr="00F53C7A">
              <w:t>process, for the design, financing, construction</w:t>
            </w:r>
            <w:r w:rsidR="00A278D9">
              <w:t>, maintenance, and operation</w:t>
            </w:r>
            <w:r w:rsidRPr="00F53C7A">
              <w:t xml:space="preserve"> of nontolled </w:t>
            </w:r>
            <w:r w:rsidR="00A278D9">
              <w:t>transportation projects</w:t>
            </w:r>
            <w:r w:rsidRPr="00F53C7A">
              <w:t xml:space="preserve"> between Interstate Highway 35 and State Highway 130 to be located wholly or partly in a county in which the project that is the subject of </w:t>
            </w:r>
            <w:r w:rsidR="00207DBE">
              <w:t xml:space="preserve">the </w:t>
            </w:r>
            <w:r w:rsidRPr="00F53C7A">
              <w:t>comprehensive development agreement</w:t>
            </w:r>
            <w:r w:rsidR="000C69C6">
              <w:t xml:space="preserve"> is located</w:t>
            </w:r>
            <w:r w:rsidRPr="00F53C7A">
              <w:t>.</w:t>
            </w:r>
            <w:r w:rsidR="00923E25">
              <w:t xml:space="preserve"> </w:t>
            </w:r>
            <w:r w:rsidR="00A278D9">
              <w:t>The bill requires each</w:t>
            </w:r>
            <w:r w:rsidR="009877E8">
              <w:t xml:space="preserve"> such</w:t>
            </w:r>
            <w:r w:rsidR="00A278D9">
              <w:t xml:space="preserve"> nontolled transportation project to be </w:t>
            </w:r>
            <w:r w:rsidR="00A278D9" w:rsidRPr="00A278D9">
              <w:t>approved by the county in which the project is located before the expenditure of funds by</w:t>
            </w:r>
            <w:r w:rsidR="00A278D9">
              <w:t xml:space="preserve"> TxDOT </w:t>
            </w:r>
            <w:r w:rsidR="00A278D9" w:rsidRPr="00A278D9">
              <w:t xml:space="preserve">or on </w:t>
            </w:r>
            <w:r w:rsidR="00A278D9">
              <w:t xml:space="preserve">TxDOT's </w:t>
            </w:r>
            <w:r w:rsidR="00A278D9" w:rsidRPr="00A278D9">
              <w:t>behalf</w:t>
            </w:r>
            <w:r w:rsidR="00923E25">
              <w:t>.</w:t>
            </w:r>
            <w:r w:rsidR="00A278D9">
              <w:t xml:space="preserve"> The bill requires TxDOT, not </w:t>
            </w:r>
            <w:r w:rsidR="00A278D9" w:rsidRPr="00A278D9">
              <w:t>later than December 1, 2026,</w:t>
            </w:r>
            <w:r w:rsidR="00A278D9">
              <w:t xml:space="preserve"> to </w:t>
            </w:r>
            <w:r w:rsidR="00A278D9" w:rsidRPr="00A278D9">
              <w:t>report on the implementation of the amendment to the comprehensive development agreement</w:t>
            </w:r>
            <w:r w:rsidR="00A278D9">
              <w:t xml:space="preserve"> </w:t>
            </w:r>
            <w:r w:rsidR="00A278D9" w:rsidRPr="00A278D9">
              <w:t>to the presiding officer of each standing committee of the legislature with primary jurisdiction over</w:t>
            </w:r>
            <w:r w:rsidR="00A278D9">
              <w:t xml:space="preserve"> TxDOT.</w:t>
            </w:r>
          </w:p>
          <w:p w14:paraId="466F4B2B" w14:textId="710B5FB8" w:rsidR="00721E64" w:rsidRPr="00835628" w:rsidRDefault="00721E64" w:rsidP="00D31A2E">
            <w:pPr>
              <w:rPr>
                <w:b/>
              </w:rPr>
            </w:pPr>
          </w:p>
        </w:tc>
      </w:tr>
      <w:tr w:rsidR="00D5001C" w14:paraId="04A0F1FA" w14:textId="77777777" w:rsidTr="00345119">
        <w:tc>
          <w:tcPr>
            <w:tcW w:w="9576" w:type="dxa"/>
          </w:tcPr>
          <w:p w14:paraId="3B683E03" w14:textId="77777777" w:rsidR="008423E4" w:rsidRPr="00A8133F" w:rsidRDefault="00031DE1" w:rsidP="00D31A2E">
            <w:pPr>
              <w:keepNext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91FDBB2" w14:textId="77777777" w:rsidR="008423E4" w:rsidRDefault="008423E4" w:rsidP="00D31A2E">
            <w:pPr>
              <w:keepNext/>
            </w:pPr>
          </w:p>
          <w:p w14:paraId="463C1700" w14:textId="7897CEBF" w:rsidR="008423E4" w:rsidRPr="003624F2" w:rsidRDefault="00031DE1" w:rsidP="00D31A2E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 w:rsidRPr="00772062">
              <w:t xml:space="preserve">September 1, </w:t>
            </w:r>
            <w:r w:rsidR="009873CE">
              <w:t>2025</w:t>
            </w:r>
            <w:r w:rsidRPr="00772062">
              <w:t>.</w:t>
            </w:r>
          </w:p>
          <w:p w14:paraId="0A4B44F4" w14:textId="77777777" w:rsidR="008423E4" w:rsidRPr="00233FDB" w:rsidRDefault="008423E4" w:rsidP="00D31A2E">
            <w:pPr>
              <w:rPr>
                <w:b/>
              </w:rPr>
            </w:pPr>
          </w:p>
        </w:tc>
      </w:tr>
    </w:tbl>
    <w:p w14:paraId="2D6FB32D" w14:textId="77777777" w:rsidR="008423E4" w:rsidRPr="00BE0E75" w:rsidRDefault="008423E4" w:rsidP="00D31A2E">
      <w:pPr>
        <w:jc w:val="both"/>
        <w:rPr>
          <w:rFonts w:ascii="Arial" w:hAnsi="Arial"/>
          <w:sz w:val="16"/>
          <w:szCs w:val="16"/>
        </w:rPr>
      </w:pPr>
    </w:p>
    <w:p w14:paraId="31399765" w14:textId="77777777" w:rsidR="004108C3" w:rsidRPr="008423E4" w:rsidRDefault="004108C3" w:rsidP="00D31A2E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36E4" w14:textId="77777777" w:rsidR="00031DE1" w:rsidRDefault="00031DE1">
      <w:r>
        <w:separator/>
      </w:r>
    </w:p>
  </w:endnote>
  <w:endnote w:type="continuationSeparator" w:id="0">
    <w:p w14:paraId="4D2EAFE8" w14:textId="77777777" w:rsidR="00031DE1" w:rsidRDefault="000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DF9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5001C" w14:paraId="1B08BB8C" w14:textId="77777777" w:rsidTr="009C1E9A">
      <w:trPr>
        <w:cantSplit/>
      </w:trPr>
      <w:tc>
        <w:tcPr>
          <w:tcW w:w="0" w:type="pct"/>
        </w:tcPr>
        <w:p w14:paraId="52F4308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CF7488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5A5F21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A45BCE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06D454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5001C" w14:paraId="0C5588D9" w14:textId="77777777" w:rsidTr="009C1E9A">
      <w:trPr>
        <w:cantSplit/>
      </w:trPr>
      <w:tc>
        <w:tcPr>
          <w:tcW w:w="0" w:type="pct"/>
        </w:tcPr>
        <w:p w14:paraId="390FA72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88C4CF9" w14:textId="63D8C8B0" w:rsidR="00EC379B" w:rsidRPr="009C1E9A" w:rsidRDefault="00031DE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25243-D</w:t>
          </w:r>
        </w:p>
      </w:tc>
      <w:tc>
        <w:tcPr>
          <w:tcW w:w="2453" w:type="pct"/>
        </w:tcPr>
        <w:p w14:paraId="2971C313" w14:textId="5EC11AD5" w:rsidR="00EC379B" w:rsidRDefault="00031DE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B0769">
            <w:t>25.108.600</w:t>
          </w:r>
          <w:r>
            <w:fldChar w:fldCharType="end"/>
          </w:r>
        </w:p>
      </w:tc>
    </w:tr>
    <w:tr w:rsidR="00D5001C" w14:paraId="120CDF07" w14:textId="77777777" w:rsidTr="009C1E9A">
      <w:trPr>
        <w:cantSplit/>
      </w:trPr>
      <w:tc>
        <w:tcPr>
          <w:tcW w:w="0" w:type="pct"/>
        </w:tcPr>
        <w:p w14:paraId="486F913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B24025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F7B99E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3CB1C6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5001C" w14:paraId="1CC1EF5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2D4D9F3" w14:textId="77777777" w:rsidR="00EC379B" w:rsidRDefault="00031DE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ABA00E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707D0B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6A4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B91E" w14:textId="77777777" w:rsidR="00031DE1" w:rsidRDefault="00031DE1">
      <w:r>
        <w:separator/>
      </w:r>
    </w:p>
  </w:footnote>
  <w:footnote w:type="continuationSeparator" w:id="0">
    <w:p w14:paraId="537C0DC8" w14:textId="77777777" w:rsidR="00031DE1" w:rsidRDefault="0003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3FC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293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2601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5E3B"/>
    <w:multiLevelType w:val="hybridMultilevel"/>
    <w:tmpl w:val="9BAEE91E"/>
    <w:lvl w:ilvl="0" w:tplc="0BDA1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2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AC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20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D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06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0F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43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2C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1DE1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7697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6A4D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9C6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4FA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6750"/>
    <w:rsid w:val="0017725B"/>
    <w:rsid w:val="0018050C"/>
    <w:rsid w:val="0018117F"/>
    <w:rsid w:val="001824ED"/>
    <w:rsid w:val="00183262"/>
    <w:rsid w:val="0018478F"/>
    <w:rsid w:val="00184B03"/>
    <w:rsid w:val="00185C59"/>
    <w:rsid w:val="0018749F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07DBE"/>
    <w:rsid w:val="002116DD"/>
    <w:rsid w:val="0021383D"/>
    <w:rsid w:val="002159B2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0595"/>
    <w:rsid w:val="002309B8"/>
    <w:rsid w:val="00232CC1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882"/>
    <w:rsid w:val="00274C45"/>
    <w:rsid w:val="00275109"/>
    <w:rsid w:val="00275BEE"/>
    <w:rsid w:val="00277434"/>
    <w:rsid w:val="00280123"/>
    <w:rsid w:val="00281343"/>
    <w:rsid w:val="00281845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463"/>
    <w:rsid w:val="002B26DD"/>
    <w:rsid w:val="002B2870"/>
    <w:rsid w:val="002B391B"/>
    <w:rsid w:val="002B5B42"/>
    <w:rsid w:val="002B7BA7"/>
    <w:rsid w:val="002C1C17"/>
    <w:rsid w:val="002C3203"/>
    <w:rsid w:val="002C3B07"/>
    <w:rsid w:val="002C3D26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8E7"/>
    <w:rsid w:val="00336BA4"/>
    <w:rsid w:val="00336C7A"/>
    <w:rsid w:val="00337392"/>
    <w:rsid w:val="00337659"/>
    <w:rsid w:val="00340C7D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4E82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604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E7B"/>
    <w:rsid w:val="00441F2F"/>
    <w:rsid w:val="0044228B"/>
    <w:rsid w:val="00446984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75B1B"/>
    <w:rsid w:val="00480080"/>
    <w:rsid w:val="00482145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D7AAA"/>
    <w:rsid w:val="004E01B1"/>
    <w:rsid w:val="004E0E60"/>
    <w:rsid w:val="004E12A3"/>
    <w:rsid w:val="004E2492"/>
    <w:rsid w:val="004E3096"/>
    <w:rsid w:val="004E4175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3464"/>
    <w:rsid w:val="00515466"/>
    <w:rsid w:val="005154F7"/>
    <w:rsid w:val="005159DE"/>
    <w:rsid w:val="0051621A"/>
    <w:rsid w:val="005269CE"/>
    <w:rsid w:val="00527FEF"/>
    <w:rsid w:val="005304B2"/>
    <w:rsid w:val="00533141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486D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2DA5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74D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55AF"/>
    <w:rsid w:val="00661F17"/>
    <w:rsid w:val="00662B77"/>
    <w:rsid w:val="00662D0E"/>
    <w:rsid w:val="00663265"/>
    <w:rsid w:val="0066345F"/>
    <w:rsid w:val="0066485B"/>
    <w:rsid w:val="00667FAC"/>
    <w:rsid w:val="0067036E"/>
    <w:rsid w:val="00670D95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4C6"/>
    <w:rsid w:val="006F365D"/>
    <w:rsid w:val="006F4BB0"/>
    <w:rsid w:val="007031BD"/>
    <w:rsid w:val="00703E80"/>
    <w:rsid w:val="00705276"/>
    <w:rsid w:val="00705C04"/>
    <w:rsid w:val="007066A0"/>
    <w:rsid w:val="007075FB"/>
    <w:rsid w:val="0070787B"/>
    <w:rsid w:val="0071131D"/>
    <w:rsid w:val="00711E3D"/>
    <w:rsid w:val="00711E85"/>
    <w:rsid w:val="00712DDA"/>
    <w:rsid w:val="0071463B"/>
    <w:rsid w:val="0071755B"/>
    <w:rsid w:val="00717739"/>
    <w:rsid w:val="00717DE4"/>
    <w:rsid w:val="00721724"/>
    <w:rsid w:val="00721E64"/>
    <w:rsid w:val="00722EC5"/>
    <w:rsid w:val="00723326"/>
    <w:rsid w:val="00724252"/>
    <w:rsid w:val="00727E7A"/>
    <w:rsid w:val="0073163C"/>
    <w:rsid w:val="00731DE3"/>
    <w:rsid w:val="00735B9D"/>
    <w:rsid w:val="007365A5"/>
    <w:rsid w:val="00736BF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38C7"/>
    <w:rsid w:val="00764786"/>
    <w:rsid w:val="00766E12"/>
    <w:rsid w:val="0077098E"/>
    <w:rsid w:val="00771287"/>
    <w:rsid w:val="0077149E"/>
    <w:rsid w:val="00772062"/>
    <w:rsid w:val="00777518"/>
    <w:rsid w:val="0077779E"/>
    <w:rsid w:val="00780FB6"/>
    <w:rsid w:val="00781FDE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3874"/>
    <w:rsid w:val="00804124"/>
    <w:rsid w:val="00805402"/>
    <w:rsid w:val="0080765F"/>
    <w:rsid w:val="00812BE3"/>
    <w:rsid w:val="00813618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181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0A7E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198A"/>
    <w:rsid w:val="008A3188"/>
    <w:rsid w:val="008A3FDF"/>
    <w:rsid w:val="008A6418"/>
    <w:rsid w:val="008B05D8"/>
    <w:rsid w:val="008B0B3D"/>
    <w:rsid w:val="008B15F8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078A"/>
    <w:rsid w:val="008E10B6"/>
    <w:rsid w:val="008E3338"/>
    <w:rsid w:val="008E47BE"/>
    <w:rsid w:val="008F09DF"/>
    <w:rsid w:val="008F3053"/>
    <w:rsid w:val="008F3136"/>
    <w:rsid w:val="008F3B55"/>
    <w:rsid w:val="008F40DF"/>
    <w:rsid w:val="008F5E16"/>
    <w:rsid w:val="008F5EFC"/>
    <w:rsid w:val="008F6200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3E25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3CE"/>
    <w:rsid w:val="009877E8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155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A46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137B"/>
    <w:rsid w:val="00A12330"/>
    <w:rsid w:val="00A1259F"/>
    <w:rsid w:val="00A1446F"/>
    <w:rsid w:val="00A151B5"/>
    <w:rsid w:val="00A20EDC"/>
    <w:rsid w:val="00A21AF7"/>
    <w:rsid w:val="00A220FF"/>
    <w:rsid w:val="00A227E0"/>
    <w:rsid w:val="00A232E4"/>
    <w:rsid w:val="00A24AAD"/>
    <w:rsid w:val="00A26A8A"/>
    <w:rsid w:val="00A27255"/>
    <w:rsid w:val="00A278D9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2E0A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4DE1"/>
    <w:rsid w:val="00A70E35"/>
    <w:rsid w:val="00A720DC"/>
    <w:rsid w:val="00A76A43"/>
    <w:rsid w:val="00A76E31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07C2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5EB6"/>
    <w:rsid w:val="00AD7780"/>
    <w:rsid w:val="00AE2263"/>
    <w:rsid w:val="00AE248E"/>
    <w:rsid w:val="00AE2D12"/>
    <w:rsid w:val="00AE2F06"/>
    <w:rsid w:val="00AE370E"/>
    <w:rsid w:val="00AE4F1C"/>
    <w:rsid w:val="00AF1433"/>
    <w:rsid w:val="00AF48B4"/>
    <w:rsid w:val="00AF4923"/>
    <w:rsid w:val="00AF64DC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6AA9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43C2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1234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86E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46D4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3CE4"/>
    <w:rsid w:val="00C74379"/>
    <w:rsid w:val="00C74DD8"/>
    <w:rsid w:val="00C75C5E"/>
    <w:rsid w:val="00C7669F"/>
    <w:rsid w:val="00C76DFF"/>
    <w:rsid w:val="00C80678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769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A2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1"/>
    <w:rsid w:val="00CE245D"/>
    <w:rsid w:val="00CE300F"/>
    <w:rsid w:val="00CE3582"/>
    <w:rsid w:val="00CE3795"/>
    <w:rsid w:val="00CE3E20"/>
    <w:rsid w:val="00CE586A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1A2E"/>
    <w:rsid w:val="00D3567B"/>
    <w:rsid w:val="00D35728"/>
    <w:rsid w:val="00D359A7"/>
    <w:rsid w:val="00D37BCF"/>
    <w:rsid w:val="00D40F93"/>
    <w:rsid w:val="00D42277"/>
    <w:rsid w:val="00D43C59"/>
    <w:rsid w:val="00D44ADE"/>
    <w:rsid w:val="00D5001C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EA1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646"/>
    <w:rsid w:val="00DF2707"/>
    <w:rsid w:val="00DF4D90"/>
    <w:rsid w:val="00DF5EBD"/>
    <w:rsid w:val="00DF6BA8"/>
    <w:rsid w:val="00DF78EA"/>
    <w:rsid w:val="00DF7CA3"/>
    <w:rsid w:val="00DF7F0D"/>
    <w:rsid w:val="00E00B3D"/>
    <w:rsid w:val="00E00D5A"/>
    <w:rsid w:val="00E01462"/>
    <w:rsid w:val="00E01A76"/>
    <w:rsid w:val="00E04B30"/>
    <w:rsid w:val="00E05FB7"/>
    <w:rsid w:val="00E066E6"/>
    <w:rsid w:val="00E06807"/>
    <w:rsid w:val="00E06873"/>
    <w:rsid w:val="00E06C5E"/>
    <w:rsid w:val="00E06DA7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433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621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055B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3C7A"/>
    <w:rsid w:val="00F5605D"/>
    <w:rsid w:val="00F6118F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5193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DF00E0-4AA5-46CC-9417-F0E9C57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20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2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20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062"/>
    <w:rPr>
      <w:b/>
      <w:bCs/>
    </w:rPr>
  </w:style>
  <w:style w:type="paragraph" w:styleId="Revision">
    <w:name w:val="Revision"/>
    <w:hidden/>
    <w:uiPriority w:val="99"/>
    <w:semiHidden/>
    <w:rsid w:val="000C69C6"/>
    <w:rPr>
      <w:sz w:val="24"/>
      <w:szCs w:val="24"/>
    </w:rPr>
  </w:style>
  <w:style w:type="character" w:styleId="Hyperlink">
    <w:name w:val="Hyperlink"/>
    <w:basedOn w:val="DefaultParagraphFont"/>
    <w:unhideWhenUsed/>
    <w:rsid w:val="00AF6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2491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HB02876 (Committee Report (Unamended))</vt:lpstr>
    </vt:vector>
  </TitlesOfParts>
  <Company>State of Texas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25243</dc:subject>
  <dc:creator>State of Texas</dc:creator>
  <dc:description>HB 2876 by Gerdes-(H)Transportation</dc:description>
  <cp:lastModifiedBy>Damian Duarte</cp:lastModifiedBy>
  <cp:revision>2</cp:revision>
  <cp:lastPrinted>2003-11-26T17:21:00Z</cp:lastPrinted>
  <dcterms:created xsi:type="dcterms:W3CDTF">2025-04-25T14:56:00Z</dcterms:created>
  <dcterms:modified xsi:type="dcterms:W3CDTF">2025-04-25T14:56:00Z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25.108.600</vt:lpwstr>
  </property>
</Properties>
</file>