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89R14259 CS-D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 Gerdes, Raymond</w:t>
      </w:r>
      <w:r xml:space="preserve">
        <w:tab wTab="150" tlc="none" cTlc="0"/>
      </w:r>
      <w:r>
        <w:t xml:space="preserve">H.B.</w:t>
      </w:r>
      <w:r xml:space="preserve">
        <w:t> </w:t>
      </w:r>
      <w:r>
        <w:t xml:space="preserve">No.</w:t>
      </w:r>
      <w:r xml:space="preserve">
        <w:t> </w:t>
      </w:r>
      <w:r>
        <w:t xml:space="preserve">3371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recovery of certain state border security expenditures from the federal government.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401, Government Code, is amended by adding Section 401.106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401.106.</w:t>
      </w:r>
      <w:r>
        <w:rPr>
          <w:u w:val="single"/>
        </w:rPr>
        <w:t xml:space="preserve"> </w:t>
      </w:r>
      <w:r>
        <w:rPr>
          <w:u w:val="single"/>
        </w:rPr>
        <w:t xml:space="preserve"> </w:t>
      </w:r>
      <w:r>
        <w:rPr>
          <w:u w:val="single"/>
        </w:rPr>
        <w:t xml:space="preserve">RECOVERY OF CERTAIN BORDER SECURITY EXPENDITURES.  (a)</w:t>
      </w:r>
      <w:r>
        <w:rPr>
          <w:u w:val="single"/>
        </w:rPr>
        <w:t xml:space="preserve"> </w:t>
      </w:r>
      <w:r>
        <w:rPr>
          <w:u w:val="single"/>
        </w:rPr>
        <w:t xml:space="preserve"> </w:t>
      </w:r>
      <w:r>
        <w:rPr>
          <w:u w:val="single"/>
        </w:rPr>
        <w:t xml:space="preserve">The governor may submit to the United States Congress an application for reimbursement requesting payment for expenses incurred by this state during a period specified in the application for activities related to securing the southern international border of the United States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application for reimbursement must include the amount of expenses incurred by this state during the period specified in the application for which this state seeks reimbursement and clearly provide that payment in full is due from the federal government as soon as practicable.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total amount requested in an application submitted under Subsection (a) is not paid within a reasonable period prescribed by Subsection (b), the attorney general may bring an action in the name of the state against the appropriate agency of the federal government to recover the amount due as stated in the application or any part of that amount that remains unpaid.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amount received from the federal government under this section shall be deposited in the state treasury to the credit of the general revenue fund.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of this section, the initial application for reimbursement submitted by the governor under Subsection (a) must include a request for payment of at least the following amounts: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$4,720,000,000 for the state fiscal biennium ending August 31,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$6,540,000,000 for the state fiscal biennium ending August 31, 2025.</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Subsection (e) and this subsection expire August 31,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