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89R22393 JDK-D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Cortez,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766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766: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Shaheen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766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ballot application requirements for the election of a precinct chair.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172.021, Election Code, is amended by adding Subsections (h) and (i)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application for a place on the ballot as a candidate for precinct chair must, in addition to complying with Section 141.031,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e-mail address at which the candidate receives correspondence relating to the candidate's campaign;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telephone number at which the candidate can be reached;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e-mail address and a telephone number described by Subdivisions (1) and (2).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Sections 141.035, 172.0221, and 172.028, information provided under Subsection (h) is confidential and does not constitute public information for purposes of Chapter 552,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766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