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89R9042 SCR-D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Gerdes, Curry, Darby,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3092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certificate of public convenience and necessity to construct an electric transmission line.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37.052(c), Utilities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electric utility is not required to amend the utility's certificate of public convenience and necessity to construct a transmission line that connects the utility's existing transmission facilities to a substation or metering point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transmission line does not exceed: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rPr>
          <w:u w:val="single"/>
        </w:rPr>
        <w:t xml:space="preserve">five</w:t>
      </w:r>
      <w:r>
        <w:t xml:space="preserve"> [</w:t>
      </w:r>
      <w:r>
        <w:rPr>
          <w:strike/>
        </w:rPr>
        <w:t xml:space="preserve">three</w:t>
      </w:r>
      <w:r>
        <w:t xml:space="preserve">] miles in length, if the line connects to a load-serving substation or metering point;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two miles in length, if the line connects to a generation substation or metering point;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each landowner whose property would be directly affected by the transmission line, as provided by commission rules, provides written consent for the transmission line;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all rights-of-way necessary for construction of the transmission line have been purchased.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3092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