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89R21524 EAS-D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Capriglione</w:t>
      </w:r>
      <w:r xml:space="preserve">
        <w:tab wTab="150" tlc="none" cTlc="0"/>
      </w:r>
      <w:r>
        <w:t xml:space="preserve">H.B.</w:t>
      </w:r>
      <w:r xml:space="preserve">
        <w:t> </w:t>
      </w:r>
      <w:r>
        <w:t xml:space="preserve">No.</w:t>
      </w:r>
      <w:r xml:space="preserve">
        <w:t> </w:t>
      </w:r>
      <w:r>
        <w:t xml:space="preserve">3376</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3376:</w:t>
      </w:r>
    </w:p>
    <w:p w:rsidR="003F3435" w:rsidRDefault="0032493E">
      <w:pPr>
        <w:spacing w:line="480" w:lineRule="auto"/>
        <w:jc w:val="both"/>
        <w:tabs>
          <w:tab w:val="right" w:leader="none" w:pos="9350"/>
        </w:tabs>
      </w:pPr>
      <w:r>
        <w:t xml:space="preserve">By:</w:t>
      </w:r>
      <w:r xml:space="preserve">
        <w:t> </w:t>
      </w:r>
      <w:r xml:space="preserve">
        <w:t> </w:t>
      </w:r>
      <w:r>
        <w:t xml:space="preserve">Leach</w:t>
      </w:r>
      <w:r xml:space="preserve">
        <w:tab wTab="150" tlc="none" cTlc="0"/>
      </w:r>
      <w:r>
        <w:t xml:space="preserve">C.S.H.B.</w:t>
      </w:r>
      <w:r xml:space="preserve">
        <w:t> </w:t>
      </w:r>
      <w:r>
        <w:t xml:space="preserve">No.</w:t>
      </w:r>
      <w:r xml:space="preserve">
        <w:t> </w:t>
      </w:r>
      <w:r>
        <w:t xml:space="preserve">3376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training on Alzheimer's disease, dementia, and related disorders for certain guardians.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155.203(b), Government Code, is amended to read as follows:</w:t>
      </w:r>
    </w:p>
    <w:p w:rsidR="003F3435" w:rsidRDefault="0032493E">
      <w:pPr>
        <w:spacing w:line="480" w:lineRule="auto"/>
        <w:ind w:firstLine="720"/>
        <w:jc w:val="both"/>
      </w:pPr>
      <w:r>
        <w:t xml:space="preserve">(b)</w:t>
      </w:r>
      <w:r xml:space="preserve">
        <w:t> </w:t>
      </w:r>
      <w:r xml:space="preserve">
        <w:t> </w:t>
      </w:r>
      <w:r>
        <w:t xml:space="preserve">In adopting rules under this section, the supreme court shall ensure that</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the commission is required to provide confirmation of a person's completion of </w:t>
      </w:r>
      <w:r>
        <w:rPr>
          <w:u w:val="single"/>
        </w:rPr>
        <w:t xml:space="preserve">the</w:t>
      </w:r>
      <w:r>
        <w:t xml:space="preserve"> training </w:t>
      </w:r>
      <w:r>
        <w:rPr>
          <w:u w:val="single"/>
        </w:rPr>
        <w:t xml:space="preserve">required by Section 155.204(a)(1)</w:t>
      </w:r>
      <w:r>
        <w:t xml:space="preserve"> and a copy of the person's criminal history background check to the probate court not later than the 10th day before the date of the hearing to appoint a guardian</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probate court is required to ensure a guardian's timely completion of the training required by Section 155.204(a)(2), unless the training is waived by the probate court as provided by Section 155.204(a)(3)</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155.204, Government Code, is amended by amending Subsection (a) and adding Subsection (a-1) to read as follows:</w:t>
      </w:r>
    </w:p>
    <w:p w:rsidR="003F3435" w:rsidRDefault="0032493E">
      <w:pPr>
        <w:spacing w:line="480" w:lineRule="auto"/>
        <w:ind w:firstLine="720"/>
        <w:jc w:val="both"/>
      </w:pPr>
      <w:r>
        <w:t xml:space="preserve">(a)</w:t>
      </w:r>
      <w:r xml:space="preserve">
        <w:t> </w:t>
      </w:r>
      <w:r xml:space="preserve">
        <w:t> </w:t>
      </w:r>
      <w:r>
        <w:t xml:space="preserve">In adopting rules under Section 155.203, the supreme court shall:</w:t>
      </w:r>
    </w:p>
    <w:p w:rsidR="003F3435" w:rsidRDefault="0032493E">
      <w:pPr>
        <w:spacing w:line="480" w:lineRule="auto"/>
        <w:ind w:firstLine="1440"/>
        <w:jc w:val="both"/>
      </w:pPr>
      <w:r>
        <w:t xml:space="preserve">(1)</w:t>
      </w:r>
      <w:r xml:space="preserve">
        <w:t> </w:t>
      </w:r>
      <w:r xml:space="preserve">
        <w:t> </w:t>
      </w:r>
      <w:r>
        <w:t xml:space="preserve">subject to Subdivision </w:t>
      </w:r>
      <w:r>
        <w:rPr>
          <w:u w:val="single"/>
        </w:rPr>
        <w:t xml:space="preserve">(3)</w:t>
      </w:r>
      <w:r>
        <w:t xml:space="preserve"> [</w:t>
      </w:r>
      <w:r>
        <w:rPr>
          <w:strike/>
        </w:rPr>
        <w:t xml:space="preserve">(2)</w:t>
      </w:r>
      <w:r>
        <w:t xml:space="preserve">], ensure that before a person is appointed guardian, the person completes a training course:</w:t>
      </w:r>
    </w:p>
    <w:p w:rsidR="003F3435" w:rsidRDefault="0032493E">
      <w:pPr>
        <w:spacing w:line="480" w:lineRule="auto"/>
        <w:ind w:firstLine="2160"/>
        <w:jc w:val="both"/>
      </w:pPr>
      <w:r>
        <w:t xml:space="preserve">(A)</w:t>
      </w:r>
      <w:r xml:space="preserve">
        <w:t> </w:t>
      </w:r>
      <w:r xml:space="preserve">
        <w:t> </w:t>
      </w:r>
      <w:r>
        <w:t xml:space="preserve">designed by the commission to educate proposed guardians about their responsibilities as guardians, alternatives to guardianships, supports and services available to the proposed ward, and a ward's bill of rights under Section 1151.351, Estates Code; and</w:t>
      </w:r>
    </w:p>
    <w:p w:rsidR="003F3435" w:rsidRDefault="0032493E">
      <w:pPr>
        <w:spacing w:line="480" w:lineRule="auto"/>
        <w:ind w:firstLine="2160"/>
        <w:jc w:val="both"/>
      </w:pPr>
      <w:r>
        <w:t xml:space="preserve">(B)</w:t>
      </w:r>
      <w:r xml:space="preserve">
        <w:t> </w:t>
      </w:r>
      <w:r xml:space="preserve">
        <w:t> </w:t>
      </w:r>
      <w:r>
        <w:t xml:space="preserve">made available for free to proposed guardians by the commission online via the commission's Internet website and, on request, in a written format;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rPr>
          <w:u w:val="single"/>
        </w:rPr>
        <w:t xml:space="preserve">subject to Subdivision (3) and Subsection (a-1), require that not later than the sixth month after the date a guardian is appointed and at least once a year, the guardian completes a one-hour training course: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provided to educate guardians on Alzheimer's disease, dementia, and related disorders, including providing information about:</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common aspects of aging;</w:t>
      </w:r>
      <w:r>
        <w:t xml:space="preserve"> </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warning signs of dementia and Alzheimer's disease;</w:t>
      </w:r>
      <w:r>
        <w:t xml:space="preserve"> </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effective strategies for communicating with a person who is diagnosed with dementia or Alzheimer's disease; and</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effective strategies and resources available for supporting a person who is diagnosed with dementia or Alzheimer's disease in exercising the person's rights;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made available for free to guardians by the commission online via the commission's Internet website; and</w:t>
      </w:r>
    </w:p>
    <w:p w:rsidR="003F3435" w:rsidRDefault="0032493E">
      <w:pPr>
        <w:spacing w:line="480" w:lineRule="auto"/>
        <w:ind w:firstLine="1440"/>
        <w:jc w:val="both"/>
      </w:pPr>
      <w:r>
        <w:rPr>
          <w:u w:val="single"/>
        </w:rPr>
        <w:t xml:space="preserve">(3)</w:t>
      </w:r>
      <w:r xml:space="preserve">
        <w:t> </w:t>
      </w:r>
      <w:r xml:space="preserve">
        <w:t> </w:t>
      </w:r>
      <w:r>
        <w:t xml:space="preserve">identify the circumstances under which a court may waive the training required under this section.</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Subsection (a)(2) applies only to the appointment of a guardian of the person or the estate, or both, of a ward who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60 years of age or older; or</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younger than 60 years of age if the ward has been diagnosed with Alzheimer's disease, dementia, or a related disorder.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w:t>
      </w:r>
      <w:r>
        <w:t xml:space="preserve"> </w:t>
      </w:r>
      <w:r>
        <w:t xml:space="preserve">Not later than January 1, 2026, the Texas Supreme Court shall adopt the rules required under Sections 155.203 and 155.204, Government Code, as amended by this Act.</w:t>
      </w:r>
    </w:p>
    <w:p w:rsidR="003F3435" w:rsidRDefault="0032493E">
      <w:pPr>
        <w:spacing w:line="480" w:lineRule="auto"/>
        <w:ind w:firstLine="720"/>
        <w:jc w:val="both"/>
      </w:pPr>
      <w:r>
        <w:t xml:space="preserve">(b)</w:t>
      </w:r>
      <w:r xml:space="preserve">
        <w:t> </w:t>
      </w:r>
      <w:r xml:space="preserve">
        <w:t> </w:t>
      </w:r>
      <w:r>
        <w:t xml:space="preserve">Not later than July 1, 2026, the Judicial Branch Certification Commission shall make available on the commission's Internet website the course required by Section 155.204(a)(2), Government Code, as amended by this Act.</w:t>
      </w:r>
    </w:p>
    <w:p w:rsidR="003F3435" w:rsidRDefault="0032493E">
      <w:pPr>
        <w:spacing w:line="480" w:lineRule="auto"/>
        <w:ind w:firstLine="720"/>
        <w:jc w:val="both"/>
      </w:pPr>
      <w:r>
        <w:t xml:space="preserve">(c)</w:t>
      </w:r>
      <w:r xml:space="preserve">
        <w:t> </w:t>
      </w:r>
      <w:r xml:space="preserve">
        <w:t> </w:t>
      </w:r>
      <w:r>
        <w:t xml:space="preserve">Notwithstanding Section 155.204(a), Government Code, as amended by this Act, a guardian  appointed before July 1, 2026, who is required to complete the training required by Section 155.204(a)(2), Government Code, as amended by this Act, shall complete the initial training required by that section not later than September 1, 2026.</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3376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