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2439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13,</w:t>
      </w:r>
      <w:r xml:space="preserve">
        <w:t> </w:t>
      </w:r>
      <w:r>
        <w:t xml:space="preserve">2025; March</w:t>
      </w:r>
      <w:r xml:space="preserve">
        <w:t> </w:t>
      </w:r>
      <w:r>
        <w:t xml:space="preserve">25,</w:t>
      </w:r>
      <w:r xml:space="preserve">
        <w:t> </w:t>
      </w:r>
      <w:r>
        <w:t xml:space="preserve">2025, read first time and referred to Committee on Transportation; April</w:t>
      </w:r>
      <w:r xml:space="preserve">
        <w:t> </w:t>
      </w:r>
      <w:r>
        <w:t xml:space="preserve">10,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8, Nays 0; April</w:t>
      </w:r>
      <w:r xml:space="preserve">
        <w:t> </w:t>
      </w:r>
      <w:r>
        <w:t xml:space="preserve">10,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Hidalgo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operation of off-highway vehicles.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551A.031,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551A.031.</w:t>
      </w:r>
      <w:r xml:space="preserve">
        <w:t> </w:t>
      </w:r>
      <w:r xml:space="preserve">
        <w:t> </w:t>
      </w:r>
      <w:r>
        <w:t xml:space="preserve">OPERATION ON PUBLIC LAND OR BEACH[</w:t>
      </w:r>
      <w:r>
        <w:rPr>
          <w:strike/>
        </w:rPr>
        <w:t xml:space="preserve">; SAFETY CERTIFICATE REQUIRED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551A.031(a),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person may not operate an off-highway vehicle on land owned or leased by the state or a political subdivision of the state that is not open to vehicular traffic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land is public off-highway vehicle land </w:t>
      </w:r>
      <w:r>
        <w:rPr>
          <w:u w:val="single"/>
        </w:rPr>
        <w:t xml:space="preserve">or a beach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operation is in compliance with: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this chapter;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Chapter 29, Parks and Wildlife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following provisions of Chapter 551A, Transportation Code, are repealed: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Sections 551A.001(1-b) and (1-c);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551A.002(b);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Subchapter B;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Sections 551A.031(b) and (c);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Section 551A.059;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Section 551A.071(d).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2439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