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 of Hidalgo</w:t>
      </w:r>
      <w:r xml:space="preserve">
        <w:tab wTab="150" tlc="none" cTlc="0"/>
      </w:r>
      <w:r>
        <w:t xml:space="preserve">S.B.</w:t>
      </w:r>
      <w:r xml:space="preserve">
        <w:t> </w:t>
      </w:r>
      <w:r>
        <w:t xml:space="preserve">No.</w:t>
      </w:r>
      <w:r xml:space="preserve">
        <w:t> </w:t>
      </w:r>
      <w:r>
        <w:t xml:space="preserve">1372</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18,</w:t>
      </w:r>
      <w:r xml:space="preserve">
        <w:t> </w:t>
      </w:r>
      <w:r>
        <w:t xml:space="preserve">2025; March</w:t>
      </w:r>
      <w:r xml:space="preserve">
        <w:t> </w:t>
      </w:r>
      <w:r>
        <w:t xml:space="preserve">6,</w:t>
      </w:r>
      <w:r xml:space="preserve">
        <w:t> </w:t>
      </w:r>
      <w:r>
        <w:t xml:space="preserve">2025, read first time and referred to Committee on Criminal Justice; April</w:t>
      </w:r>
      <w:r xml:space="preserve">
        <w:t> </w:t>
      </w:r>
      <w:r>
        <w:t xml:space="preserve">10,</w:t>
      </w:r>
      <w:r xml:space="preserve">
        <w:t> </w:t>
      </w:r>
      <w:r>
        <w:t xml:space="preserve">2025, reported favorably by the following vote:</w:t>
      </w:r>
      <w:r>
        <w:t xml:space="preserve"> </w:t>
      </w:r>
      <w:r>
        <w:t xml:space="preserve"> </w:t>
      </w:r>
      <w:r>
        <w:t xml:space="preserve">Yeas 6, Nays 0; April</w:t>
      </w:r>
      <w:r xml:space="preserve">
        <w:t> </w:t>
      </w:r>
      <w:r>
        <w:t xml:space="preserve">10,</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 </w:t>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access to the crime laboratory portal.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411.164, Government Code, is amended to read as follows:</w:t>
      </w:r>
    </w:p>
    <w:p w:rsidR="003F3435" w:rsidRDefault="0032493E">
      <w:pPr>
        <w:spacing w:line="480" w:lineRule="auto"/>
        <w:ind w:firstLine="720"/>
        <w:jc w:val="both"/>
      </w:pPr>
      <w:r>
        <w:t xml:space="preserve">Sec.</w:t>
      </w:r>
      <w:r xml:space="preserve">
        <w:t> </w:t>
      </w:r>
      <w:r>
        <w:t xml:space="preserve">411.164.</w:t>
      </w:r>
      <w:r xml:space="preserve">
        <w:t> </w:t>
      </w:r>
      <w:r xml:space="preserve">
        <w:t> </w:t>
      </w:r>
      <w:r>
        <w:t xml:space="preserve">DEFENSE COUNSEL ACCESS TO CRIME LABORATORY PORTAL.  In accordance with department rule, the attorney representing the state in a criminal action shall designate [</w:t>
      </w:r>
      <w:r>
        <w:rPr>
          <w:strike/>
        </w:rPr>
        <w:t xml:space="preserve">the defendant or</w:t>
      </w:r>
      <w:r>
        <w:t xml:space="preserve">] the defendant's attorney[</w:t>
      </w:r>
      <w:r>
        <w:rPr>
          <w:strike/>
        </w:rPr>
        <w:t xml:space="preserve">, as appropriate,</w:t>
      </w:r>
      <w:r>
        <w:t xml:space="preserve">] as an individual who is authorized to access and use the crime laboratory portal under Section 411.162 to request any crime laboratory records that are subject to discovery under Article 39.14, Code of Criminal Procedure.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 criminal proceeding that commences on or after the effective date of this Act. </w:t>
      </w:r>
      <w:r>
        <w:t xml:space="preserve"> </w:t>
      </w:r>
      <w:r>
        <w:t xml:space="preserve">A criminal proceeding that commences before the effective date of this Act is governed by the law in effect on the date the proceeding commenced,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1372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