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89R18819 JTZ-F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271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271: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Shofner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271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report by the Texas Higher Education Coordinating Board regarding enrollment and success in higher education for students with disabilities.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61, Education Code, is amended by adding Section 61.06642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61.06642.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REPORT REGARDING ENROLLMENT AND SUCCESS IN HIGHER EDUCATION FOR STUDENTS WITH DISABILITIES.  (a)  In this section, "student with a disability"</w:t>
      </w:r>
      <w:r>
        <w:rPr>
          <w:u w:val="single"/>
        </w:rPr>
        <w:t xml:space="preserve"> </w:t>
      </w:r>
      <w:r>
        <w:rPr>
          <w:u w:val="single"/>
        </w:rPr>
        <w:t xml:space="preserve">means a student covered under: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Americans with Disabilities Act of 1990 (42 U.S.C. Section 12101 et seq.);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Section 504, Rehabilitation Act of 1973 (29 U.S.C. Section 794).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 later than September 1, 2027, the board shall prepare and submit to the legislature a report on enrollment and success in higher education for students with a disability.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report must identify, to the extent practicable: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and percentage of students with a disability who enroll in an institution of higher education or private or independent institution of higher education;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barriers to enrollment in higher education for students with a disability;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policies of institutions of higher education or private or independent institutions of higher education that promote enrollment and success in higher education for students with a disability;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what services and accommodations for students with a disability are provided for accessibility at institutions of higher education or private or independent institutions of higher education;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what institutions of higher education or private or independent institutions of higher education do to provide to students with a disability sufficient and accurate information regarding the educational rights and protections for persons with a disability under state and federal law;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recommendations for legislative or other action.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institution of higher education shall provide to the board on request, and the board may request from a private or independent institution of higher education, any information necessary for the board to prepare the report.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expires September 1, 2028.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271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