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89R19104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1155</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1155:</w:t>
      </w:r>
    </w:p>
    <w:p w:rsidR="003F3435" w:rsidRDefault="0032493E">
      <w:pPr>
        <w:spacing w:line="480" w:lineRule="auto"/>
        <w:jc w:val="both"/>
        <w:tabs>
          <w:tab w:val="right" w:leader="none" w:pos="9350"/>
        </w:tabs>
      </w:pPr>
      <w:r>
        <w:t xml:space="preserve">By:</w:t>
      </w:r>
      <w:r xml:space="preserve">
        <w:t> </w:t>
      </w:r>
      <w:r xml:space="preserve">
        <w:t> </w:t>
      </w:r>
      <w:r>
        <w:t xml:space="preserve">Morales of Harris</w:t>
      </w:r>
      <w:r xml:space="preserve">
        <w:tab wTab="150" tlc="none" cTlc="0"/>
      </w:r>
      <w:r>
        <w:t xml:space="preserve">C.S.H.B.</w:t>
      </w:r>
      <w:r xml:space="preserve">
        <w:t> </w:t>
      </w:r>
      <w:r>
        <w:t xml:space="preserve">No.</w:t>
      </w:r>
      <w:r xml:space="preserve">
        <w:t> </w:t>
      </w:r>
      <w:r>
        <w:t xml:space="preserve">1155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monetary assistance provided by the Department of Family and Protective Services to certain parents.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264, Family Code, is amended by adding Section 264.209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264.209.</w:t>
      </w:r>
      <w:r>
        <w:rPr>
          <w:u w:val="single"/>
        </w:rPr>
        <w:t xml:space="preserve"> </w:t>
      </w:r>
      <w:r>
        <w:rPr>
          <w:u w:val="single"/>
        </w:rPr>
        <w:t xml:space="preserve"> </w:t>
      </w:r>
      <w:r>
        <w:rPr>
          <w:u w:val="single"/>
        </w:rPr>
        <w:t xml:space="preserve">MONITORED RETURN ASSISTANCE PROGRAM.  (a)  If a court has rendered an order under Section 263.403 providing for the monitored return of a child to a parent, the department shall provide monetary assistance under this section for the duration of the monitoring period to a parent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family income that is less than or equal to 300 percent of the federal poverty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demonstrates to the department that economic factors, including unemployment or inability to afford housing, transportation, utilities, food, medical care, mental health care, or child care are a significant barrier to reunification.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disburse monetary assistance provided to a parent under Subsection (a) in the same manner as the department disburses payments to a foster parent, including making a rate increase effective on the same date the department implements a rate increase for the minimum daily foster care reimbursement rate.  Monetary assistance provided to the parent may not exceed 50 percent of the department's daily basic foster care rate for the care of a child.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at its discretion and for good cause, may extend the monetary assistance payments for a time period not to exceed an additional six months after the date the case is dismissed to support family stability after reunification.  The department shall decrease the monetary assistance provided to the parent by 25 percent each month the monetary assistance payments are extended under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an order rendered under Section 263.403, Family Code, regardless of whether the order was rendered before,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1155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