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89R21381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Gates</w:t>
      </w:r>
      <w:r xml:space="preserve">
        <w:tab wTab="150" tlc="none" cTlc="0"/>
      </w:r>
      <w:r>
        <w:t xml:space="preserve">H.B.</w:t>
      </w:r>
      <w:r xml:space="preserve">
        <w:t> </w:t>
      </w:r>
      <w:r>
        <w:t xml:space="preserve">No.</w:t>
      </w:r>
      <w:r xml:space="preserve">
        <w:t> </w:t>
      </w:r>
      <w:r>
        <w:t xml:space="preserve">1228</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1228:</w:t>
      </w:r>
    </w:p>
    <w:p w:rsidR="003F3435" w:rsidRDefault="0032493E">
      <w:pPr>
        <w:spacing w:line="480" w:lineRule="auto"/>
        <w:jc w:val="both"/>
        <w:tabs>
          <w:tab w:val="right" w:leader="none" w:pos="9350"/>
        </w:tabs>
      </w:pPr>
      <w:r>
        <w:t xml:space="preserve">By:</w:t>
      </w:r>
      <w:r xml:space="preserve">
        <w:t> </w:t>
      </w:r>
      <w:r xml:space="preserve">
        <w:t> </w:t>
      </w:r>
      <w:r>
        <w:t xml:space="preserve">Gates</w:t>
      </w:r>
      <w:r xml:space="preserve">
        <w:tab wTab="150" tlc="none" cTlc="0"/>
      </w:r>
      <w:r>
        <w:t xml:space="preserve">C.S.H.B.</w:t>
      </w:r>
      <w:r xml:space="preserve">
        <w:t> </w:t>
      </w:r>
      <w:r>
        <w:t xml:space="preserve">No.</w:t>
      </w:r>
      <w:r xml:space="preserve">
        <w:t> </w:t>
      </w:r>
      <w:r>
        <w:t xml:space="preserve">1228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municipal and county permitting requirements to conduct certain repairs on residential buildings.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214, Local Government Code, is amended by adding Section 214.909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214.909.</w:t>
      </w:r>
      <w:r>
        <w:rPr>
          <w:u w:val="single"/>
        </w:rPr>
        <w:t xml:space="preserve"> </w:t>
      </w:r>
      <w:r>
        <w:rPr>
          <w:u w:val="single"/>
        </w:rPr>
        <w:t xml:space="preserve"> </w:t>
      </w:r>
      <w:r>
        <w:rPr>
          <w:u w:val="single"/>
        </w:rPr>
        <w:t xml:space="preserve">EMERGENCY REPAIRS TO RESIDENTIAL BUILDINGS.  (a) </w:t>
      </w:r>
      <w:r>
        <w:rPr>
          <w:u w:val="single"/>
        </w:rPr>
        <w:t xml:space="preserve"> </w:t>
      </w:r>
      <w:r>
        <w:rPr>
          <w:u w:val="single"/>
        </w:rPr>
        <w:t xml:space="preserve">A municipality shall allow an owner of a damaged residential building to immediately begin to conduct repairs to the building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repairs are necessary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protect public safety;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prevent further damage to the building;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protect the overall structural integrity of the building;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repairs are not new construction or substantial improvements, as those terms are defined by 44 C.F.R. Section 59.1;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owner applies for an emergency permit as provided by Subsection (b).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owner of a residential building may apply for an emergency permit to conduct repairs by filing an application not later than the third business day after the later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repairs commence;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the municipality is able to accept the application.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may not be construed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prohibit a municipality from conducting a code inspection of a residential building for which repairs have been made under this section to ensure compliance with those codes;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exempt an owner from compliance with the requirements of Subchapter I, Chapter 16, Water Code, or other health and safety requirements under state or federal law.</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governor may not exempt a municipality from this section by an executive order issued under Chapter 418, Government Code.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owner of a residential building who is prohibited from conducting repairs by a municipality in violation of this section may bring an action against the municipality for damages incurred due to the violation. The owner may recover reasonable attorney's fees and litigation costs if the owner prevails in the action. Governmental immunity of the municipality to suit and from liability is waived to the extent of liability created by this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233, Local Government Code, is amended by adding Section 233.902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233.902.</w:t>
      </w:r>
      <w:r>
        <w:rPr>
          <w:u w:val="single"/>
        </w:rPr>
        <w:t xml:space="preserve"> </w:t>
      </w:r>
      <w:r>
        <w:rPr>
          <w:u w:val="single"/>
        </w:rPr>
        <w:t xml:space="preserve"> </w:t>
      </w:r>
      <w:r>
        <w:rPr>
          <w:u w:val="single"/>
        </w:rPr>
        <w:t xml:space="preserve">EMERGENCY REPAIRS TO RESIDENTIAL BUILDINGS.  (a) </w:t>
      </w:r>
      <w:r>
        <w:rPr>
          <w:u w:val="single"/>
        </w:rPr>
        <w:t xml:space="preserve"> </w:t>
      </w:r>
      <w:r>
        <w:rPr>
          <w:u w:val="single"/>
        </w:rPr>
        <w:t xml:space="preserve">A county shall allow an owner of a damaged residential building to immediately begin to conduct repairs to the building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repairs are necessary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protect public safety;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prevent further damage to the building;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protect the overall structural integrity of the building;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repairs are not new construction or substantial improvements, as those terms are defined by 44 C.F.R. Section 59.1;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owner applies for an emergency permit as provided by Subsection (b).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owner of a residential building may apply for an emergency permit to conduct repairs by filing an application not later than the third business day after the later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repairs commence;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the county is able to accept the application.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may not be construed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prohibit a county from conducting a code inspection of a residential building for which repairs have been made under this section to ensure compliance with those codes;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exempt an owner from compliance with the requirements of Subchapter I, Chapter 16, Water Code, or other health and safety requirements under state or federal law.</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governor may not exempt a county from this section by an executive order issued under Chapter 418, Government Code.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owner of a residential building who is prohibited from conducting repairs by a county in violation of this section may bring an action against the county for damages incurred due to the violation. The owner may recover reasonable attorney's fees and litigation costs if the owner prevails in the action. Governmental immunity of the county to suit and from liability is waived to the extent of liability created by this subsection.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1228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