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Hughes, et al.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689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employment practices regarding diversity and prohibiting the implementation of diversity, equity, and inclusion initiatives by certain governmental entities.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Subtitle A, Title 6, Government Code, is amended by adding Chapter 621 to read as follows:</w:t>
      </w:r>
    </w:p>
    <w:p w:rsidR="003F3435" w:rsidRDefault="0032493E">
      <w:pPr>
        <w:spacing w:line="480" w:lineRule="auto"/>
        <w:jc w:val="center"/>
      </w:pPr>
      <w:r>
        <w:rPr>
          <w:u w:val="single"/>
        </w:rPr>
        <w:t xml:space="preserve">CHAPTER 621. PROHIBITION ON CERTAIN DIVERSITY, EQUITY, AND INCLUSION INITIATIVES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621.001.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"Diversity, equity, and inclusion office" means an office, division, or other unit of a governmental entity established for the purpose of: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influencing hiring or employment practices or workforce composition at the entity with respect to race, sex, color, or ethnicity, other than through the use of color-blind, race-neutral, and sex-neutral hiring processes in accordance with any applicable state and federal antidiscrimination laws;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promoting differential treatment or providing special benefits to individuals on the basis of race, sex, color, or ethnicity;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promoting policies or procedures designed or implemented in reference to race, sex, color, or ethnicity, other than policies or procedures:</w:t>
      </w:r>
    </w:p>
    <w:p w:rsidR="003F3435" w:rsidRDefault="0032493E">
      <w:pPr>
        <w:spacing w:line="480" w:lineRule="auto"/>
        <w:ind w:firstLine="2880"/>
        <w:jc w:val="both"/>
      </w:pPr>
      <w:r>
        <w:rPr>
          <w:u w:val="single"/>
        </w:rPr>
        <w:t xml:space="preserve">(i)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approved in writing by the attorney general; and</w:t>
      </w:r>
    </w:p>
    <w:p w:rsidR="003F3435" w:rsidRDefault="0032493E">
      <w:pPr>
        <w:spacing w:line="480" w:lineRule="auto"/>
        <w:ind w:firstLine="2880"/>
        <w:jc w:val="both"/>
      </w:pPr>
      <w:r>
        <w:rPr>
          <w:u w:val="single"/>
        </w:rPr>
        <w:t xml:space="preserve">(ii)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implemented for the sole purpose of ensuring compliance with any applicable federal law;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conducting trainings, programs, or activities designed or implemented in reference to race, sex, color, ethnicity, gender identity, or sexual orientation, other than trainings, programs, or activities:</w:t>
      </w:r>
    </w:p>
    <w:p w:rsidR="003F3435" w:rsidRDefault="0032493E">
      <w:pPr>
        <w:spacing w:line="480" w:lineRule="auto"/>
        <w:ind w:firstLine="2880"/>
        <w:jc w:val="both"/>
      </w:pPr>
      <w:r>
        <w:rPr>
          <w:u w:val="single"/>
        </w:rPr>
        <w:t xml:space="preserve">(i)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developed by an attorney;</w:t>
      </w:r>
    </w:p>
    <w:p w:rsidR="003F3435" w:rsidRDefault="0032493E">
      <w:pPr>
        <w:spacing w:line="480" w:lineRule="auto"/>
        <w:ind w:firstLine="2880"/>
        <w:jc w:val="both"/>
      </w:pPr>
      <w:r>
        <w:rPr>
          <w:u w:val="single"/>
        </w:rPr>
        <w:t xml:space="preserve">(ii)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approved in writing by the attorney general; and</w:t>
      </w:r>
    </w:p>
    <w:p w:rsidR="003F3435" w:rsidRDefault="0032493E">
      <w:pPr>
        <w:spacing w:line="480" w:lineRule="auto"/>
        <w:ind w:firstLine="2880"/>
        <w:jc w:val="both"/>
      </w:pPr>
      <w:r>
        <w:rPr>
          <w:u w:val="single"/>
        </w:rPr>
        <w:t xml:space="preserve">(iii)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conducted for the sole purpose of ensuring compliance with any applicable court order or state or federal law; or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(E)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promoting, as an official position of the entity, a particular opinion referencing unconscious or implicit bias, cultural appropriation, allyship, transgender ideology, microaggressions, group marginalization, anti-racism, systemic oppression, social justice, intersectionality, neo-pronouns, heteronormativity, disparate impact, gender theory, racial or sexual privilege, or any related formulation of these concepts.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"Governmental entity"</w:t>
      </w:r>
      <w:r>
        <w:rPr>
          <w:u w:val="single"/>
        </w:rPr>
        <w:t xml:space="preserve"> </w:t>
      </w:r>
      <w:r>
        <w:rPr>
          <w:u w:val="single"/>
        </w:rPr>
        <w:t xml:space="preserve">means: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department, commission, board, office, or other agency that is in the executive branch of state government and that was created by the constitution or a statute, other than an institution of higher education as defined by Section 61.003, Education Code;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legislature or a legislative state agency;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supreme court, the court of criminal appeals, a court of appeals, a district court, or the Texas Judicial Council or another agency in the judicial branch of state government; or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county, a municipality, a special purpose district, or any other political subdivision of this state, other than a school district.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621.002.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RESPONSIBILITY OF GOVERNMENTAL ENTITY REGARDING DIVERSITY, EQUITY, AND INCLUSION INITIATIVES. </w:t>
      </w:r>
      <w:r>
        <w:rPr>
          <w:u w:val="single"/>
        </w:rPr>
        <w:t xml:space="preserve"> </w:t>
      </w:r>
      <w:r>
        <w:rPr>
          <w:u w:val="single"/>
        </w:rPr>
        <w:t xml:space="preserve">A governmental entity shall ensure that each unit of the entity does not, except as required by federal law: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compel, require, induce, or solicit any person to provide a diversity, equity, and inclusion statement or give preferential consideration to any person based on the provision of a diversity, equity, and inclusion statement;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establish or maintain a diversity, equity, and inclusion office;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hire or assign an employee of the entity or contract with a third party to perform the duties of a diversity, equity, and inclusion office.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621.003.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COMPLAINT; ENFORCEMENT. </w:t>
      </w:r>
      <w:r>
        <w:rPr>
          <w:u w:val="single"/>
        </w:rPr>
        <w:t xml:space="preserve"> </w:t>
      </w:r>
      <w:r>
        <w:rPr>
          <w:u w:val="single"/>
        </w:rPr>
        <w:t xml:space="preserve">(a) </w:t>
      </w:r>
      <w:r>
        <w:rPr>
          <w:u w:val="single"/>
        </w:rPr>
        <w:t xml:space="preserve"> </w:t>
      </w:r>
      <w:r>
        <w:rPr>
          <w:u w:val="single"/>
        </w:rPr>
        <w:t xml:space="preserve">A person who has a reasonable belief that a governmental entity is violating this chapter may file a complaint with the attorney general.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If the attorney general determines that a governmental entity named in a complaint received under Subsection (a) is violating this chapter, the attorney general may file a petition for a writ of mandamus to compel the governmental entity to comply with this chapter.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mandamus action under Subsection (b) must be filed in: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Travis County, if the governmental entity is an entity described by Sections 621.001(2)(A)-(C);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county in which the governmental entity is located, if the governmental entity is an entity described by Section 621.001(2)(D).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21.125(a), Labor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Except as otherwise provided by this chapter, an unlawful employment practice is established when the complainant demonstrates that race, color, sex, national origin, religion, age, or disability was a motivating factor for an employment practice, even if other factors also motivated the practice[</w:t>
      </w:r>
      <w:r>
        <w:rPr>
          <w:strike/>
        </w:rPr>
        <w:t xml:space="preserve">, unless race, color, sex, national origin, religion, age, or disability is combined with objective job-related factors to attain diversity in the employer's work force</w:t>
      </w:r>
      <w:r>
        <w:t xml:space="preserve">].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Section 21.452, Labor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21.452.</w:t>
      </w:r>
      <w:r xml:space="preserve">
        <w:t> </w:t>
      </w:r>
      <w:r xml:space="preserve">
        <w:t> </w:t>
      </w:r>
      <w:r>
        <w:t xml:space="preserve">DEVELOPMENT AND IMPLEMENTATION OF PERSONNEL POLICIES AND PROCEDURES.</w:t>
      </w:r>
      <w:r xml:space="preserve">
        <w:t> </w:t>
      </w:r>
      <w:r xml:space="preserve">
        <w:t> </w:t>
      </w:r>
      <w:r>
        <w:t xml:space="preserve">Each state agency shall develop and implement personnel policies and procedures that comply with this chapter[</w:t>
      </w:r>
      <w:r>
        <w:rPr>
          <w:strike/>
        </w:rPr>
        <w:t xml:space="preserve">, including personnel selection procedures that incorporate a workforce diversity program</w:t>
      </w:r>
      <w:r>
        <w:t xml:space="preserve">].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The following provisions of the Labor Code are repealed: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Section 21.121;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Subchapter J, Chapter 21.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5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689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