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89R21016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w:t>
      </w:r>
      <w:r xml:space="preserve">
        <w:tab wTab="150" tlc="none" cTlc="0"/>
      </w:r>
      <w:r>
        <w:t xml:space="preserve">H.B.</w:t>
      </w:r>
      <w:r xml:space="preserve">
        <w:t> </w:t>
      </w:r>
      <w:r>
        <w:t xml:space="preserve">No.</w:t>
      </w:r>
      <w:r xml:space="preserve">
        <w:t> </w:t>
      </w:r>
      <w:r>
        <w:t xml:space="preserve">1442</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1442:</w:t>
      </w: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C.S.H.B.</w:t>
      </w:r>
      <w:r xml:space="preserve">
        <w:t> </w:t>
      </w:r>
      <w:r>
        <w:t xml:space="preserve">No.</w:t>
      </w:r>
      <w:r xml:space="preserve">
        <w:t> </w:t>
      </w:r>
      <w:r>
        <w:t xml:space="preserve">1442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Internet broadcast or recording of certain open meetings.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551, Government Code, is amended by adding Sections 551.024 and 551.025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551.024.</w:t>
      </w:r>
      <w:r>
        <w:rPr>
          <w:u w:val="single"/>
        </w:rPr>
        <w:t xml:space="preserve"> </w:t>
      </w:r>
      <w:r>
        <w:rPr>
          <w:u w:val="single"/>
        </w:rPr>
        <w:t xml:space="preserve"> </w:t>
      </w:r>
      <w:r>
        <w:rPr>
          <w:u w:val="single"/>
        </w:rPr>
        <w:t xml:space="preserve">INTERNET BROADCAST AND ARCHIVE OF OPEN MEETINGS.  (a)  This section applies only to a governmental body that is an agency within the executive branch of state government: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which the total appropriation made in the General Appropriations Act from general revenue as specified in the method of financing for any fiscal year beginning on or after September 1, 2025, including any amount of general revenue transferred to the governmental body under that Act for that fiscal year, is greater than $10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the bill pattern for the General Appropriations Act for the same fiscal year designates 100 or more full-time equivalent positions.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body that becomes subject to this section under Subsection (a) for a fiscal year shall comply with this section in each following fiscal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body subject to this section shall broadcast over the Internet live video and audio of each open meeting of the governmental body.  The governmental body shall provide access to the broadcast on the governmental body's Internet website.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seventh day after the date an open meeting is broadcast under this section, the governmental body shall make available through the governmental body's Internet website archived video and audio of the open meeting. </w:t>
      </w:r>
      <w:r>
        <w:rPr>
          <w:u w:val="single"/>
        </w:rPr>
        <w:t xml:space="preserve"> </w:t>
      </w:r>
      <w:r>
        <w:rPr>
          <w:u w:val="single"/>
        </w:rPr>
        <w:t xml:space="preserve">The governmental body shall maintain the archived video and audio of the open meeting on the governmental body's Internet website until the second anniversary of the date the archived video and audio was first made available on the website.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governmental body shall provide on the governmental body's Internet website the same notice of the open meeting that the governmental body is required to post under Subchapter C.  The notice must be posted on the governmental body's Internet website within the time required for posting notice under Subchapter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governmental body may use for an Internet broadcast of an open meeting of the governmental body a room made available to the governmental body on request in any state building, as defined by Section 2165.301.</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governmental body is exempt from the requirements of this section to the extent a catastrophe, as defined by Section 551.0411, or a technical breakdown prevents the governmental body from complying with this section.  Following the catastrophe or technical breakdown, the governmental body shall make all reasonable efforts to make the required video and audio of the open meeting available in a timely manner.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governmental body shall consider contracting through competitive bidding with a private individual or entity to broadcast and archive an open meeting subject to this section to minimize the cost of complying with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551.025.</w:t>
      </w:r>
      <w:r>
        <w:rPr>
          <w:u w:val="single"/>
        </w:rPr>
        <w:t xml:space="preserve"> </w:t>
      </w:r>
      <w:r>
        <w:rPr>
          <w:u w:val="single"/>
        </w:rPr>
        <w:t xml:space="preserve"> </w:t>
      </w:r>
      <w:r>
        <w:rPr>
          <w:u w:val="single"/>
        </w:rPr>
        <w:t xml:space="preserve">INTERNET ACCESS TO RECORDING OF OPEN MEETING.  (a)  This section applies only to a governmental body that is an agency within: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legislative branch of the state government;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executive branch of the state government to which Section 551.024 does not apply.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seventh day after the date an open meeting is held, a governmental body subject to this section shall make available through the governmental body's Internet website or a social media account associated with the governmental body: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audio recording of the open meeting;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video and audio recording of the open meeting.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governmental body shall provide on the governmental body's Internet website or a social media account associated with the governmental body the same notice of the open meeting that the governmental body is required to post under Subchapter C.  The notice must be posted on the governmental body's Internet website or a social media account associated with the governmental body within the time required for posting notice under Subchapter 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governmental body is exempt from the requirements of this section to the extent a catastrophe, as defined by Section 551.0411, or a technical breakdown prevents the governmental body from complying with this section.  Following the catastrophe or technical breakdown, the governmental body shall make all reasonable efforts to make the required recording of the open meeting available in a timely manner.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 (a), this section does not apply to a commodity producers board created under Chapter 41, Agriculture Code. </w:t>
      </w:r>
      <w:r>
        <w:rPr>
          <w:u w:val="single"/>
        </w:rPr>
        <w:t xml:space="preserve"> </w:t>
      </w:r>
      <w:r>
        <w:rPr>
          <w:u w:val="single"/>
        </w:rPr>
        <w:t xml:space="preserve">This subsection expires September 1, 2030.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551.024 and 551.025, Government Code, as added by this Act, apply only to an open meeting held on or after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1442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